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559" w:rsidRPr="00966559" w:rsidRDefault="00966559" w:rsidP="00966559">
      <w:pPr>
        <w:spacing w:after="0"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 xml:space="preserve">Hearing Disorders and Deafness </w:t>
      </w:r>
    </w:p>
    <w:p w:rsidR="00966559" w:rsidRPr="00966559" w:rsidRDefault="00966559" w:rsidP="00966559">
      <w:pPr>
        <w:spacing w:after="0"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 xml:space="preserve">Also called: Hearing loss, </w:t>
      </w:r>
      <w:proofErr w:type="spellStart"/>
      <w:r w:rsidRPr="00966559">
        <w:rPr>
          <w:rFonts w:ascii="Arial" w:eastAsia="Times New Roman" w:hAnsi="Arial" w:cs="Arial"/>
          <w:color w:val="000000" w:themeColor="text1"/>
          <w:sz w:val="24"/>
          <w:szCs w:val="24"/>
        </w:rPr>
        <w:t>Presbycusis</w:t>
      </w:r>
      <w:proofErr w:type="spellEnd"/>
      <w:r w:rsidRPr="00966559">
        <w:rPr>
          <w:rFonts w:ascii="Arial" w:eastAsia="Times New Roman" w:hAnsi="Arial" w:cs="Arial"/>
          <w:color w:val="000000" w:themeColor="text1"/>
          <w:sz w:val="24"/>
          <w:szCs w:val="24"/>
        </w:rPr>
        <w:t xml:space="preserve"> </w:t>
      </w:r>
    </w:p>
    <w:p w:rsidR="00966559" w:rsidRPr="00966559" w:rsidRDefault="00966559" w:rsidP="00966559">
      <w:pPr>
        <w:spacing w:before="100" w:beforeAutospacing="1" w:after="100" w:afterAutospacing="1"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 xml:space="preserve">It's frustrating to be unable to hear well enough to enjoy talking with friends or family. Hearing disorders make it hard, but not impossible, to hear. They can often be helped. Deafness can keep you from hearing sound at all. </w:t>
      </w:r>
    </w:p>
    <w:p w:rsidR="00966559" w:rsidRPr="00966559" w:rsidRDefault="00966559" w:rsidP="00966559">
      <w:pPr>
        <w:spacing w:before="100" w:beforeAutospacing="1" w:after="100" w:afterAutospacing="1"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What causes hearing loss? Some possibilities are</w:t>
      </w:r>
    </w:p>
    <w:p w:rsidR="00966559" w:rsidRPr="00966559" w:rsidRDefault="00966559" w:rsidP="00966559">
      <w:pPr>
        <w:numPr>
          <w:ilvl w:val="0"/>
          <w:numId w:val="1"/>
        </w:numPr>
        <w:spacing w:before="100" w:beforeAutospacing="1" w:after="100" w:afterAutospacing="1"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 xml:space="preserve">Heredity </w:t>
      </w:r>
    </w:p>
    <w:p w:rsidR="00966559" w:rsidRPr="00966559" w:rsidRDefault="00966559" w:rsidP="00966559">
      <w:pPr>
        <w:numPr>
          <w:ilvl w:val="0"/>
          <w:numId w:val="1"/>
        </w:numPr>
        <w:spacing w:before="100" w:beforeAutospacing="1" w:after="100" w:afterAutospacing="1"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 xml:space="preserve">Diseases such as </w:t>
      </w:r>
      <w:hyperlink r:id="rId5" w:history="1">
        <w:r w:rsidRPr="00966559">
          <w:rPr>
            <w:rFonts w:ascii="Arial" w:eastAsia="Times New Roman" w:hAnsi="Arial" w:cs="Arial"/>
            <w:color w:val="000000" w:themeColor="text1"/>
            <w:sz w:val="24"/>
            <w:szCs w:val="24"/>
            <w:u w:val="single"/>
          </w:rPr>
          <w:t>ear infections</w:t>
        </w:r>
      </w:hyperlink>
      <w:r w:rsidRPr="00966559">
        <w:rPr>
          <w:rFonts w:ascii="Arial" w:eastAsia="Times New Roman" w:hAnsi="Arial" w:cs="Arial"/>
          <w:color w:val="000000" w:themeColor="text1"/>
          <w:sz w:val="24"/>
          <w:szCs w:val="24"/>
        </w:rPr>
        <w:t xml:space="preserve"> and </w:t>
      </w:r>
      <w:hyperlink r:id="rId6" w:history="1">
        <w:r w:rsidRPr="00966559">
          <w:rPr>
            <w:rFonts w:ascii="Arial" w:eastAsia="Times New Roman" w:hAnsi="Arial" w:cs="Arial"/>
            <w:color w:val="000000" w:themeColor="text1"/>
            <w:sz w:val="24"/>
            <w:szCs w:val="24"/>
            <w:u w:val="single"/>
          </w:rPr>
          <w:t xml:space="preserve">meningitis </w:t>
        </w:r>
      </w:hyperlink>
    </w:p>
    <w:p w:rsidR="00966559" w:rsidRPr="00966559" w:rsidRDefault="00966559" w:rsidP="00966559">
      <w:pPr>
        <w:numPr>
          <w:ilvl w:val="0"/>
          <w:numId w:val="1"/>
        </w:numPr>
        <w:spacing w:before="100" w:beforeAutospacing="1" w:after="100" w:afterAutospacing="1"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 xml:space="preserve">Trauma </w:t>
      </w:r>
    </w:p>
    <w:p w:rsidR="00966559" w:rsidRPr="00966559" w:rsidRDefault="00966559" w:rsidP="00966559">
      <w:pPr>
        <w:numPr>
          <w:ilvl w:val="0"/>
          <w:numId w:val="1"/>
        </w:numPr>
        <w:spacing w:before="100" w:beforeAutospacing="1" w:after="100" w:afterAutospacing="1"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 xml:space="preserve">Certain medicines </w:t>
      </w:r>
    </w:p>
    <w:p w:rsidR="00966559" w:rsidRPr="00966559" w:rsidRDefault="00966559" w:rsidP="00966559">
      <w:pPr>
        <w:numPr>
          <w:ilvl w:val="0"/>
          <w:numId w:val="1"/>
        </w:numPr>
        <w:spacing w:before="100" w:beforeAutospacing="1" w:after="100" w:afterAutospacing="1"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 xml:space="preserve">Long-term exposure to loud </w:t>
      </w:r>
      <w:hyperlink r:id="rId7" w:history="1">
        <w:r w:rsidRPr="00966559">
          <w:rPr>
            <w:rFonts w:ascii="Arial" w:eastAsia="Times New Roman" w:hAnsi="Arial" w:cs="Arial"/>
            <w:color w:val="000000" w:themeColor="text1"/>
            <w:sz w:val="24"/>
            <w:szCs w:val="24"/>
            <w:u w:val="single"/>
          </w:rPr>
          <w:t>noise</w:t>
        </w:r>
      </w:hyperlink>
      <w:r w:rsidRPr="00966559">
        <w:rPr>
          <w:rFonts w:ascii="Arial" w:eastAsia="Times New Roman" w:hAnsi="Arial" w:cs="Arial"/>
          <w:color w:val="000000" w:themeColor="text1"/>
          <w:sz w:val="24"/>
          <w:szCs w:val="24"/>
        </w:rPr>
        <w:t xml:space="preserve"> </w:t>
      </w:r>
    </w:p>
    <w:p w:rsidR="00966559" w:rsidRPr="00966559" w:rsidRDefault="00966559" w:rsidP="00966559">
      <w:pPr>
        <w:numPr>
          <w:ilvl w:val="0"/>
          <w:numId w:val="1"/>
        </w:numPr>
        <w:spacing w:before="100" w:beforeAutospacing="1" w:after="100" w:afterAutospacing="1"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 xml:space="preserve">Aging </w:t>
      </w:r>
    </w:p>
    <w:p w:rsidR="00966559" w:rsidRPr="00966559" w:rsidRDefault="00966559" w:rsidP="00966559">
      <w:pPr>
        <w:spacing w:before="100" w:beforeAutospacing="1" w:after="100" w:afterAutospacing="1"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 xml:space="preserve">There are two main types of hearing loss. One happens when your inner ear or auditory nerve is damaged. This type is permanent. The other kind happens when sound waves cannot reach your inner ear. Earwax build-up, fluid or a punctured eardrum can cause it. Untreated, hearing problems can get worse. If you have trouble hearing, you can get help. Possible treatments include </w:t>
      </w:r>
      <w:hyperlink r:id="rId8" w:history="1">
        <w:r w:rsidRPr="00966559">
          <w:rPr>
            <w:rFonts w:ascii="Arial" w:eastAsia="Times New Roman" w:hAnsi="Arial" w:cs="Arial"/>
            <w:color w:val="000000" w:themeColor="text1"/>
            <w:sz w:val="24"/>
            <w:szCs w:val="24"/>
            <w:u w:val="single"/>
          </w:rPr>
          <w:t>hearing aids</w:t>
        </w:r>
      </w:hyperlink>
      <w:r w:rsidRPr="00966559">
        <w:rPr>
          <w:rFonts w:ascii="Arial" w:eastAsia="Times New Roman" w:hAnsi="Arial" w:cs="Arial"/>
          <w:color w:val="000000" w:themeColor="text1"/>
          <w:sz w:val="24"/>
          <w:szCs w:val="24"/>
        </w:rPr>
        <w:t xml:space="preserve">, </w:t>
      </w:r>
      <w:hyperlink r:id="rId9" w:history="1">
        <w:r w:rsidRPr="00966559">
          <w:rPr>
            <w:rFonts w:ascii="Arial" w:eastAsia="Times New Roman" w:hAnsi="Arial" w:cs="Arial"/>
            <w:color w:val="000000" w:themeColor="text1"/>
            <w:sz w:val="24"/>
            <w:szCs w:val="24"/>
            <w:u w:val="single"/>
          </w:rPr>
          <w:t>cochlear implants</w:t>
        </w:r>
      </w:hyperlink>
      <w:r w:rsidRPr="00966559">
        <w:rPr>
          <w:rFonts w:ascii="Arial" w:eastAsia="Times New Roman" w:hAnsi="Arial" w:cs="Arial"/>
          <w:color w:val="000000" w:themeColor="text1"/>
          <w:sz w:val="24"/>
          <w:szCs w:val="24"/>
        </w:rPr>
        <w:t xml:space="preserve">, special training, certain medicines and surgery. </w:t>
      </w:r>
    </w:p>
    <w:p w:rsidR="00966559" w:rsidRPr="00966559" w:rsidRDefault="00966559" w:rsidP="00966559">
      <w:pPr>
        <w:spacing w:before="100" w:beforeAutospacing="1" w:after="100" w:afterAutospacing="1" w:line="240" w:lineRule="auto"/>
        <w:rPr>
          <w:rFonts w:ascii="Arial" w:eastAsia="Times New Roman" w:hAnsi="Arial" w:cs="Arial"/>
          <w:color w:val="000000" w:themeColor="text1"/>
          <w:sz w:val="24"/>
          <w:szCs w:val="24"/>
        </w:rPr>
      </w:pPr>
      <w:r w:rsidRPr="00966559">
        <w:rPr>
          <w:rFonts w:ascii="Arial" w:eastAsia="Times New Roman" w:hAnsi="Arial" w:cs="Arial"/>
          <w:color w:val="000000" w:themeColor="text1"/>
          <w:sz w:val="24"/>
          <w:szCs w:val="24"/>
        </w:rPr>
        <w:t>National Institute on Deafness and Other Communication Disorders</w:t>
      </w:r>
    </w:p>
    <w:tbl>
      <w:tblPr>
        <w:tblW w:w="0" w:type="auto"/>
        <w:tblCellSpacing w:w="75" w:type="dxa"/>
        <w:tblCellMar>
          <w:left w:w="0" w:type="dxa"/>
          <w:right w:w="0" w:type="dxa"/>
        </w:tblCellMar>
        <w:tblLook w:val="04A0"/>
      </w:tblPr>
      <w:tblGrid>
        <w:gridCol w:w="4875"/>
        <w:gridCol w:w="4785"/>
      </w:tblGrid>
      <w:tr w:rsidR="00966559" w:rsidRPr="00966559">
        <w:trPr>
          <w:tblCellSpacing w:w="75" w:type="dxa"/>
        </w:trPr>
        <w:tc>
          <w:tcPr>
            <w:tcW w:w="4650" w:type="dxa"/>
            <w:hideMark/>
          </w:tcPr>
          <w:tbl>
            <w:tblPr>
              <w:tblW w:w="4500" w:type="dxa"/>
              <w:jc w:val="center"/>
              <w:tblCellSpacing w:w="0" w:type="dxa"/>
              <w:tblBorders>
                <w:top w:val="single" w:sz="6" w:space="0" w:color="993333"/>
                <w:left w:val="single" w:sz="6" w:space="0" w:color="993333"/>
                <w:bottom w:val="single" w:sz="6" w:space="0" w:color="993333"/>
                <w:right w:val="single" w:sz="6" w:space="0" w:color="993333"/>
              </w:tblBorders>
              <w:tblCellMar>
                <w:top w:w="30" w:type="dxa"/>
                <w:left w:w="30" w:type="dxa"/>
                <w:bottom w:w="30" w:type="dxa"/>
                <w:right w:w="30" w:type="dxa"/>
              </w:tblCellMar>
              <w:tblLook w:val="04A0"/>
            </w:tblPr>
            <w:tblGrid>
              <w:gridCol w:w="829"/>
              <w:gridCol w:w="3671"/>
            </w:tblGrid>
            <w:tr w:rsidR="00966559" w:rsidRPr="00966559">
              <w:trPr>
                <w:tblCellSpacing w:w="0" w:type="dxa"/>
                <w:jc w:val="center"/>
              </w:trPr>
              <w:tc>
                <w:tcPr>
                  <w:tcW w:w="0" w:type="auto"/>
                  <w:gridSpan w:val="2"/>
                  <w:shd w:val="clear" w:color="auto" w:fill="993333"/>
                  <w:vAlign w:val="center"/>
                  <w:hideMark/>
                </w:tcPr>
                <w:p w:rsidR="00966559" w:rsidRPr="00966559" w:rsidRDefault="00966559">
                  <w:pPr>
                    <w:jc w:val="center"/>
                    <w:rPr>
                      <w:rFonts w:ascii="Arial" w:hAnsi="Arial" w:cs="Arial"/>
                      <w:b/>
                      <w:bCs/>
                      <w:color w:val="000000" w:themeColor="text1"/>
                      <w:sz w:val="24"/>
                      <w:szCs w:val="24"/>
                    </w:rPr>
                  </w:pPr>
                  <w:r w:rsidRPr="00966559">
                    <w:rPr>
                      <w:rFonts w:ascii="Arial" w:hAnsi="Arial" w:cs="Arial"/>
                      <w:b/>
                      <w:bCs/>
                      <w:color w:val="000000" w:themeColor="text1"/>
                    </w:rPr>
                    <w:t>How loud is too loud?</w:t>
                  </w:r>
                </w:p>
              </w:tc>
            </w:tr>
            <w:tr w:rsidR="00966559" w:rsidRPr="00966559">
              <w:trPr>
                <w:tblCellSpacing w:w="0" w:type="dxa"/>
                <w:jc w:val="center"/>
              </w:trPr>
              <w:tc>
                <w:tcPr>
                  <w:tcW w:w="615" w:type="dxa"/>
                  <w:shd w:val="clear" w:color="auto" w:fill="990000"/>
                  <w:tcMar>
                    <w:top w:w="60" w:type="dxa"/>
                    <w:left w:w="240" w:type="dxa"/>
                    <w:bottom w:w="60" w:type="dxa"/>
                    <w:right w:w="240" w:type="dxa"/>
                  </w:tcMar>
                  <w:vAlign w:val="center"/>
                  <w:hideMark/>
                </w:tcPr>
                <w:p w:rsidR="00966559" w:rsidRPr="00966559" w:rsidRDefault="00966559">
                  <w:pPr>
                    <w:jc w:val="center"/>
                    <w:rPr>
                      <w:rFonts w:ascii="Arial" w:hAnsi="Arial" w:cs="Arial"/>
                      <w:color w:val="000000" w:themeColor="text1"/>
                      <w:sz w:val="20"/>
                      <w:szCs w:val="20"/>
                    </w:rPr>
                  </w:pPr>
                  <w:r w:rsidRPr="00966559">
                    <w:rPr>
                      <w:rStyle w:val="style1"/>
                      <w:rFonts w:ascii="Arial" w:hAnsi="Arial" w:cs="Arial"/>
                      <w:color w:val="000000" w:themeColor="text1"/>
                      <w:sz w:val="20"/>
                      <w:szCs w:val="20"/>
                    </w:rPr>
                    <w:t>150</w:t>
                  </w:r>
                </w:p>
              </w:tc>
              <w:tc>
                <w:tcPr>
                  <w:tcW w:w="4635" w:type="dxa"/>
                  <w:shd w:val="clear" w:color="auto" w:fill="990000"/>
                  <w:tcMar>
                    <w:top w:w="60" w:type="dxa"/>
                    <w:left w:w="240" w:type="dxa"/>
                    <w:bottom w:w="60" w:type="dxa"/>
                    <w:right w:w="240" w:type="dxa"/>
                  </w:tcMar>
                  <w:vAlign w:val="center"/>
                  <w:hideMark/>
                </w:tcPr>
                <w:p w:rsidR="00966559" w:rsidRPr="00966559" w:rsidRDefault="00966559">
                  <w:pPr>
                    <w:rPr>
                      <w:rFonts w:ascii="Arial" w:hAnsi="Arial" w:cs="Arial"/>
                      <w:color w:val="000000" w:themeColor="text1"/>
                      <w:sz w:val="20"/>
                      <w:szCs w:val="20"/>
                    </w:rPr>
                  </w:pPr>
                  <w:r w:rsidRPr="00966559">
                    <w:rPr>
                      <w:rStyle w:val="style1"/>
                      <w:rFonts w:ascii="Arial" w:hAnsi="Arial" w:cs="Arial"/>
                      <w:color w:val="000000" w:themeColor="text1"/>
                      <w:sz w:val="20"/>
                      <w:szCs w:val="20"/>
                    </w:rPr>
                    <w:t>Firecracker</w:t>
                  </w:r>
                </w:p>
              </w:tc>
            </w:tr>
            <w:tr w:rsidR="00966559" w:rsidRPr="00966559">
              <w:trPr>
                <w:tblCellSpacing w:w="0" w:type="dxa"/>
                <w:jc w:val="center"/>
              </w:trPr>
              <w:tc>
                <w:tcPr>
                  <w:tcW w:w="0" w:type="auto"/>
                  <w:shd w:val="clear" w:color="auto" w:fill="990000"/>
                  <w:tcMar>
                    <w:top w:w="60" w:type="dxa"/>
                    <w:left w:w="240" w:type="dxa"/>
                    <w:bottom w:w="60" w:type="dxa"/>
                    <w:right w:w="240" w:type="dxa"/>
                  </w:tcMar>
                  <w:vAlign w:val="center"/>
                  <w:hideMark/>
                </w:tcPr>
                <w:p w:rsidR="00966559" w:rsidRPr="00966559" w:rsidRDefault="00966559">
                  <w:pPr>
                    <w:jc w:val="center"/>
                    <w:rPr>
                      <w:rFonts w:ascii="Arial" w:hAnsi="Arial" w:cs="Arial"/>
                      <w:color w:val="000000" w:themeColor="text1"/>
                      <w:sz w:val="20"/>
                      <w:szCs w:val="20"/>
                    </w:rPr>
                  </w:pPr>
                  <w:r w:rsidRPr="00966559">
                    <w:rPr>
                      <w:rStyle w:val="style1"/>
                      <w:rFonts w:ascii="Arial" w:hAnsi="Arial" w:cs="Arial"/>
                      <w:color w:val="000000" w:themeColor="text1"/>
                      <w:sz w:val="20"/>
                      <w:szCs w:val="20"/>
                    </w:rPr>
                    <w:t>120</w:t>
                  </w:r>
                </w:p>
              </w:tc>
              <w:tc>
                <w:tcPr>
                  <w:tcW w:w="0" w:type="auto"/>
                  <w:shd w:val="clear" w:color="auto" w:fill="990000"/>
                  <w:tcMar>
                    <w:top w:w="60" w:type="dxa"/>
                    <w:left w:w="240" w:type="dxa"/>
                    <w:bottom w:w="60" w:type="dxa"/>
                    <w:right w:w="240" w:type="dxa"/>
                  </w:tcMar>
                  <w:vAlign w:val="center"/>
                  <w:hideMark/>
                </w:tcPr>
                <w:p w:rsidR="00966559" w:rsidRPr="00966559" w:rsidRDefault="00966559">
                  <w:pPr>
                    <w:rPr>
                      <w:rFonts w:ascii="Arial" w:hAnsi="Arial" w:cs="Arial"/>
                      <w:color w:val="000000" w:themeColor="text1"/>
                      <w:sz w:val="20"/>
                      <w:szCs w:val="20"/>
                    </w:rPr>
                  </w:pPr>
                  <w:r w:rsidRPr="00966559">
                    <w:rPr>
                      <w:rStyle w:val="style1"/>
                      <w:rFonts w:ascii="Arial" w:hAnsi="Arial" w:cs="Arial"/>
                      <w:color w:val="000000" w:themeColor="text1"/>
                      <w:sz w:val="20"/>
                      <w:szCs w:val="20"/>
                    </w:rPr>
                    <w:t xml:space="preserve">Ambulance siren </w:t>
                  </w:r>
                </w:p>
              </w:tc>
            </w:tr>
            <w:tr w:rsidR="00966559" w:rsidRPr="00966559">
              <w:trPr>
                <w:tblCellSpacing w:w="0" w:type="dxa"/>
                <w:jc w:val="center"/>
              </w:trPr>
              <w:tc>
                <w:tcPr>
                  <w:tcW w:w="0" w:type="auto"/>
                  <w:shd w:val="clear" w:color="auto" w:fill="990000"/>
                  <w:tcMar>
                    <w:top w:w="60" w:type="dxa"/>
                    <w:left w:w="240" w:type="dxa"/>
                    <w:bottom w:w="60" w:type="dxa"/>
                    <w:right w:w="240" w:type="dxa"/>
                  </w:tcMar>
                  <w:vAlign w:val="center"/>
                  <w:hideMark/>
                </w:tcPr>
                <w:p w:rsidR="00966559" w:rsidRPr="00966559" w:rsidRDefault="00966559">
                  <w:pPr>
                    <w:jc w:val="center"/>
                    <w:rPr>
                      <w:rFonts w:ascii="Arial" w:hAnsi="Arial" w:cs="Arial"/>
                      <w:color w:val="000000" w:themeColor="text1"/>
                      <w:sz w:val="20"/>
                      <w:szCs w:val="20"/>
                    </w:rPr>
                  </w:pPr>
                  <w:r w:rsidRPr="00966559">
                    <w:rPr>
                      <w:rStyle w:val="style1"/>
                      <w:rFonts w:ascii="Arial" w:hAnsi="Arial" w:cs="Arial"/>
                      <w:color w:val="000000" w:themeColor="text1"/>
                      <w:sz w:val="20"/>
                      <w:szCs w:val="20"/>
                    </w:rPr>
                    <w:t>110</w:t>
                  </w:r>
                </w:p>
              </w:tc>
              <w:tc>
                <w:tcPr>
                  <w:tcW w:w="0" w:type="auto"/>
                  <w:shd w:val="clear" w:color="auto" w:fill="990000"/>
                  <w:tcMar>
                    <w:top w:w="60" w:type="dxa"/>
                    <w:left w:w="240" w:type="dxa"/>
                    <w:bottom w:w="60" w:type="dxa"/>
                    <w:right w:w="240" w:type="dxa"/>
                  </w:tcMar>
                  <w:vAlign w:val="center"/>
                  <w:hideMark/>
                </w:tcPr>
                <w:p w:rsidR="00966559" w:rsidRPr="00966559" w:rsidRDefault="00966559">
                  <w:pPr>
                    <w:rPr>
                      <w:rFonts w:ascii="Arial" w:hAnsi="Arial" w:cs="Arial"/>
                      <w:color w:val="000000" w:themeColor="text1"/>
                      <w:sz w:val="20"/>
                      <w:szCs w:val="20"/>
                    </w:rPr>
                  </w:pPr>
                  <w:r w:rsidRPr="00966559">
                    <w:rPr>
                      <w:rStyle w:val="style1"/>
                      <w:rFonts w:ascii="Arial" w:hAnsi="Arial" w:cs="Arial"/>
                      <w:color w:val="000000" w:themeColor="text1"/>
                      <w:sz w:val="20"/>
                      <w:szCs w:val="20"/>
                    </w:rPr>
                    <w:t xml:space="preserve">Chain saw, Rock concert </w:t>
                  </w:r>
                </w:p>
              </w:tc>
            </w:tr>
            <w:tr w:rsidR="00966559" w:rsidRPr="00966559">
              <w:trPr>
                <w:tblCellSpacing w:w="0" w:type="dxa"/>
                <w:jc w:val="center"/>
              </w:trPr>
              <w:tc>
                <w:tcPr>
                  <w:tcW w:w="0" w:type="auto"/>
                  <w:shd w:val="clear" w:color="auto" w:fill="990000"/>
                  <w:tcMar>
                    <w:top w:w="60" w:type="dxa"/>
                    <w:left w:w="240" w:type="dxa"/>
                    <w:bottom w:w="60" w:type="dxa"/>
                    <w:right w:w="240" w:type="dxa"/>
                  </w:tcMar>
                  <w:hideMark/>
                </w:tcPr>
                <w:p w:rsidR="00966559" w:rsidRPr="00966559" w:rsidRDefault="00966559">
                  <w:pPr>
                    <w:jc w:val="center"/>
                    <w:rPr>
                      <w:rFonts w:ascii="Arial" w:hAnsi="Arial" w:cs="Arial"/>
                      <w:color w:val="000000" w:themeColor="text1"/>
                      <w:sz w:val="20"/>
                      <w:szCs w:val="20"/>
                    </w:rPr>
                  </w:pPr>
                  <w:r w:rsidRPr="00966559">
                    <w:rPr>
                      <w:rStyle w:val="style1"/>
                      <w:rFonts w:ascii="Arial" w:hAnsi="Arial" w:cs="Arial"/>
                      <w:color w:val="000000" w:themeColor="text1"/>
                      <w:sz w:val="20"/>
                      <w:szCs w:val="20"/>
                    </w:rPr>
                    <w:t>105</w:t>
                  </w:r>
                </w:p>
              </w:tc>
              <w:tc>
                <w:tcPr>
                  <w:tcW w:w="0" w:type="auto"/>
                  <w:shd w:val="clear" w:color="auto" w:fill="990000"/>
                  <w:tcMar>
                    <w:top w:w="60" w:type="dxa"/>
                    <w:left w:w="240" w:type="dxa"/>
                    <w:bottom w:w="60" w:type="dxa"/>
                    <w:right w:w="240" w:type="dxa"/>
                  </w:tcMar>
                  <w:vAlign w:val="center"/>
                  <w:hideMark/>
                </w:tcPr>
                <w:p w:rsidR="00966559" w:rsidRPr="00966559" w:rsidRDefault="00966559">
                  <w:pPr>
                    <w:rPr>
                      <w:rFonts w:ascii="Arial" w:hAnsi="Arial" w:cs="Arial"/>
                      <w:color w:val="000000" w:themeColor="text1"/>
                      <w:sz w:val="20"/>
                      <w:szCs w:val="20"/>
                    </w:rPr>
                  </w:pPr>
                  <w:r w:rsidRPr="00966559">
                    <w:rPr>
                      <w:rStyle w:val="style1"/>
                      <w:rFonts w:ascii="Arial" w:hAnsi="Arial" w:cs="Arial"/>
                      <w:color w:val="000000" w:themeColor="text1"/>
                      <w:sz w:val="20"/>
                      <w:szCs w:val="20"/>
                    </w:rPr>
                    <w:t xml:space="preserve">Personal stereo system at maximum level </w:t>
                  </w:r>
                </w:p>
              </w:tc>
            </w:tr>
            <w:tr w:rsidR="00966559" w:rsidRPr="00966559">
              <w:trPr>
                <w:tblCellSpacing w:w="0" w:type="dxa"/>
                <w:jc w:val="center"/>
              </w:trPr>
              <w:tc>
                <w:tcPr>
                  <w:tcW w:w="0" w:type="auto"/>
                  <w:shd w:val="clear" w:color="auto" w:fill="990000"/>
                  <w:tcMar>
                    <w:top w:w="60" w:type="dxa"/>
                    <w:left w:w="240" w:type="dxa"/>
                    <w:bottom w:w="60" w:type="dxa"/>
                    <w:right w:w="240" w:type="dxa"/>
                  </w:tcMar>
                  <w:vAlign w:val="center"/>
                  <w:hideMark/>
                </w:tcPr>
                <w:p w:rsidR="00966559" w:rsidRPr="00966559" w:rsidRDefault="00966559">
                  <w:pPr>
                    <w:jc w:val="center"/>
                    <w:rPr>
                      <w:rFonts w:ascii="Arial" w:hAnsi="Arial" w:cs="Arial"/>
                      <w:color w:val="000000" w:themeColor="text1"/>
                      <w:sz w:val="20"/>
                      <w:szCs w:val="20"/>
                    </w:rPr>
                  </w:pPr>
                  <w:r w:rsidRPr="00966559">
                    <w:rPr>
                      <w:rStyle w:val="style1"/>
                      <w:rFonts w:ascii="Arial" w:hAnsi="Arial" w:cs="Arial"/>
                      <w:color w:val="000000" w:themeColor="text1"/>
                      <w:sz w:val="20"/>
                      <w:szCs w:val="20"/>
                    </w:rPr>
                    <w:t>100</w:t>
                  </w:r>
                </w:p>
              </w:tc>
              <w:tc>
                <w:tcPr>
                  <w:tcW w:w="0" w:type="auto"/>
                  <w:shd w:val="clear" w:color="auto" w:fill="990000"/>
                  <w:tcMar>
                    <w:top w:w="60" w:type="dxa"/>
                    <w:left w:w="240" w:type="dxa"/>
                    <w:bottom w:w="60" w:type="dxa"/>
                    <w:right w:w="240" w:type="dxa"/>
                  </w:tcMar>
                  <w:vAlign w:val="center"/>
                  <w:hideMark/>
                </w:tcPr>
                <w:p w:rsidR="00966559" w:rsidRPr="00966559" w:rsidRDefault="00966559">
                  <w:pPr>
                    <w:rPr>
                      <w:rFonts w:ascii="Arial" w:hAnsi="Arial" w:cs="Arial"/>
                      <w:color w:val="000000" w:themeColor="text1"/>
                      <w:sz w:val="20"/>
                      <w:szCs w:val="20"/>
                    </w:rPr>
                  </w:pPr>
                  <w:r w:rsidRPr="00966559">
                    <w:rPr>
                      <w:rStyle w:val="style1"/>
                      <w:rFonts w:ascii="Arial" w:hAnsi="Arial" w:cs="Arial"/>
                      <w:color w:val="000000" w:themeColor="text1"/>
                      <w:sz w:val="20"/>
                      <w:szCs w:val="20"/>
                    </w:rPr>
                    <w:t xml:space="preserve">Wood shop, Snowmobile </w:t>
                  </w:r>
                </w:p>
              </w:tc>
            </w:tr>
            <w:tr w:rsidR="00966559" w:rsidRPr="00966559">
              <w:trPr>
                <w:tblCellSpacing w:w="0" w:type="dxa"/>
                <w:jc w:val="center"/>
              </w:trPr>
              <w:tc>
                <w:tcPr>
                  <w:tcW w:w="0" w:type="auto"/>
                  <w:shd w:val="clear" w:color="auto" w:fill="990000"/>
                  <w:tcMar>
                    <w:top w:w="60" w:type="dxa"/>
                    <w:left w:w="240" w:type="dxa"/>
                    <w:bottom w:w="60" w:type="dxa"/>
                    <w:right w:w="240" w:type="dxa"/>
                  </w:tcMar>
                  <w:vAlign w:val="center"/>
                  <w:hideMark/>
                </w:tcPr>
                <w:p w:rsidR="00966559" w:rsidRPr="00966559" w:rsidRDefault="00966559">
                  <w:pPr>
                    <w:jc w:val="center"/>
                    <w:rPr>
                      <w:rFonts w:ascii="Arial" w:hAnsi="Arial" w:cs="Arial"/>
                      <w:color w:val="000000" w:themeColor="text1"/>
                      <w:sz w:val="20"/>
                      <w:szCs w:val="20"/>
                    </w:rPr>
                  </w:pPr>
                  <w:r w:rsidRPr="00966559">
                    <w:rPr>
                      <w:rStyle w:val="style1"/>
                      <w:rFonts w:ascii="Arial" w:hAnsi="Arial" w:cs="Arial"/>
                      <w:color w:val="000000" w:themeColor="text1"/>
                      <w:sz w:val="20"/>
                      <w:szCs w:val="20"/>
                    </w:rPr>
                    <w:t>95</w:t>
                  </w:r>
                </w:p>
              </w:tc>
              <w:tc>
                <w:tcPr>
                  <w:tcW w:w="0" w:type="auto"/>
                  <w:shd w:val="clear" w:color="auto" w:fill="990000"/>
                  <w:tcMar>
                    <w:top w:w="60" w:type="dxa"/>
                    <w:left w:w="240" w:type="dxa"/>
                    <w:bottom w:w="60" w:type="dxa"/>
                    <w:right w:w="240" w:type="dxa"/>
                  </w:tcMar>
                  <w:vAlign w:val="center"/>
                  <w:hideMark/>
                </w:tcPr>
                <w:p w:rsidR="00966559" w:rsidRPr="00966559" w:rsidRDefault="00966559">
                  <w:pPr>
                    <w:rPr>
                      <w:rFonts w:ascii="Arial" w:hAnsi="Arial" w:cs="Arial"/>
                      <w:color w:val="000000" w:themeColor="text1"/>
                      <w:sz w:val="20"/>
                      <w:szCs w:val="20"/>
                    </w:rPr>
                  </w:pPr>
                  <w:r w:rsidRPr="00966559">
                    <w:rPr>
                      <w:rStyle w:val="style1"/>
                      <w:rFonts w:ascii="Arial" w:hAnsi="Arial" w:cs="Arial"/>
                      <w:color w:val="000000" w:themeColor="text1"/>
                      <w:sz w:val="20"/>
                      <w:szCs w:val="20"/>
                    </w:rPr>
                    <w:t>Motorcycle</w:t>
                  </w:r>
                </w:p>
              </w:tc>
            </w:tr>
            <w:tr w:rsidR="00966559" w:rsidRPr="00966559">
              <w:trPr>
                <w:tblCellSpacing w:w="0" w:type="dxa"/>
                <w:jc w:val="center"/>
              </w:trPr>
              <w:tc>
                <w:tcPr>
                  <w:tcW w:w="0" w:type="auto"/>
                  <w:shd w:val="clear" w:color="auto" w:fill="990000"/>
                  <w:tcMar>
                    <w:top w:w="60" w:type="dxa"/>
                    <w:left w:w="240" w:type="dxa"/>
                    <w:bottom w:w="60" w:type="dxa"/>
                    <w:right w:w="240" w:type="dxa"/>
                  </w:tcMar>
                  <w:vAlign w:val="center"/>
                  <w:hideMark/>
                </w:tcPr>
                <w:p w:rsidR="00966559" w:rsidRPr="00966559" w:rsidRDefault="00966559">
                  <w:pPr>
                    <w:jc w:val="center"/>
                    <w:rPr>
                      <w:rFonts w:ascii="Arial" w:hAnsi="Arial" w:cs="Arial"/>
                      <w:color w:val="000000" w:themeColor="text1"/>
                      <w:sz w:val="20"/>
                      <w:szCs w:val="20"/>
                    </w:rPr>
                  </w:pPr>
                  <w:r w:rsidRPr="00966559">
                    <w:rPr>
                      <w:rStyle w:val="style1"/>
                      <w:rFonts w:ascii="Arial" w:hAnsi="Arial" w:cs="Arial"/>
                      <w:color w:val="000000" w:themeColor="text1"/>
                      <w:sz w:val="20"/>
                      <w:szCs w:val="20"/>
                    </w:rPr>
                    <w:t>90</w:t>
                  </w:r>
                </w:p>
              </w:tc>
              <w:tc>
                <w:tcPr>
                  <w:tcW w:w="0" w:type="auto"/>
                  <w:shd w:val="clear" w:color="auto" w:fill="990000"/>
                  <w:tcMar>
                    <w:top w:w="60" w:type="dxa"/>
                    <w:left w:w="240" w:type="dxa"/>
                    <w:bottom w:w="60" w:type="dxa"/>
                    <w:right w:w="240" w:type="dxa"/>
                  </w:tcMar>
                  <w:vAlign w:val="center"/>
                  <w:hideMark/>
                </w:tcPr>
                <w:p w:rsidR="00966559" w:rsidRPr="00966559" w:rsidRDefault="00966559">
                  <w:pPr>
                    <w:rPr>
                      <w:rFonts w:ascii="Arial" w:hAnsi="Arial" w:cs="Arial"/>
                      <w:color w:val="000000" w:themeColor="text1"/>
                      <w:sz w:val="20"/>
                      <w:szCs w:val="20"/>
                    </w:rPr>
                  </w:pPr>
                  <w:r w:rsidRPr="00966559">
                    <w:rPr>
                      <w:rStyle w:val="style1"/>
                      <w:rFonts w:ascii="Arial" w:hAnsi="Arial" w:cs="Arial"/>
                      <w:color w:val="000000" w:themeColor="text1"/>
                      <w:sz w:val="20"/>
                      <w:szCs w:val="20"/>
                    </w:rPr>
                    <w:t xml:space="preserve">Power mower </w:t>
                  </w:r>
                </w:p>
              </w:tc>
            </w:tr>
            <w:tr w:rsidR="00966559" w:rsidRPr="00966559">
              <w:trPr>
                <w:tblCellSpacing w:w="0" w:type="dxa"/>
                <w:jc w:val="center"/>
              </w:trPr>
              <w:tc>
                <w:tcPr>
                  <w:tcW w:w="0" w:type="auto"/>
                  <w:shd w:val="clear" w:color="auto" w:fill="990000"/>
                  <w:tcMar>
                    <w:top w:w="60" w:type="dxa"/>
                    <w:left w:w="240" w:type="dxa"/>
                    <w:bottom w:w="60" w:type="dxa"/>
                    <w:right w:w="240" w:type="dxa"/>
                  </w:tcMar>
                  <w:vAlign w:val="center"/>
                  <w:hideMark/>
                </w:tcPr>
                <w:p w:rsidR="00966559" w:rsidRPr="00966559" w:rsidRDefault="00966559">
                  <w:pPr>
                    <w:jc w:val="center"/>
                    <w:rPr>
                      <w:rFonts w:ascii="Arial" w:hAnsi="Arial" w:cs="Arial"/>
                      <w:color w:val="000000" w:themeColor="text1"/>
                      <w:sz w:val="20"/>
                      <w:szCs w:val="20"/>
                    </w:rPr>
                  </w:pPr>
                  <w:r w:rsidRPr="00966559">
                    <w:rPr>
                      <w:rStyle w:val="style1"/>
                      <w:rFonts w:ascii="Arial" w:hAnsi="Arial" w:cs="Arial"/>
                      <w:color w:val="000000" w:themeColor="text1"/>
                      <w:sz w:val="20"/>
                      <w:szCs w:val="20"/>
                    </w:rPr>
                    <w:t>85</w:t>
                  </w:r>
                </w:p>
              </w:tc>
              <w:tc>
                <w:tcPr>
                  <w:tcW w:w="0" w:type="auto"/>
                  <w:shd w:val="clear" w:color="auto" w:fill="990000"/>
                  <w:tcMar>
                    <w:top w:w="60" w:type="dxa"/>
                    <w:left w:w="240" w:type="dxa"/>
                    <w:bottom w:w="60" w:type="dxa"/>
                    <w:right w:w="240" w:type="dxa"/>
                  </w:tcMar>
                  <w:vAlign w:val="center"/>
                  <w:hideMark/>
                </w:tcPr>
                <w:p w:rsidR="00966559" w:rsidRPr="00966559" w:rsidRDefault="00966559">
                  <w:pPr>
                    <w:rPr>
                      <w:rFonts w:ascii="Arial" w:hAnsi="Arial" w:cs="Arial"/>
                      <w:color w:val="000000" w:themeColor="text1"/>
                      <w:sz w:val="20"/>
                      <w:szCs w:val="20"/>
                    </w:rPr>
                  </w:pPr>
                  <w:r w:rsidRPr="00966559">
                    <w:rPr>
                      <w:rStyle w:val="style1"/>
                      <w:rFonts w:ascii="Arial" w:hAnsi="Arial" w:cs="Arial"/>
                      <w:color w:val="000000" w:themeColor="text1"/>
                      <w:sz w:val="20"/>
                      <w:szCs w:val="20"/>
                    </w:rPr>
                    <w:t xml:space="preserve">Heavy city traffic </w:t>
                  </w:r>
                </w:p>
              </w:tc>
            </w:tr>
            <w:tr w:rsidR="00966559" w:rsidRPr="00966559">
              <w:trPr>
                <w:tblCellSpacing w:w="0" w:type="dxa"/>
                <w:jc w:val="center"/>
              </w:trPr>
              <w:tc>
                <w:tcPr>
                  <w:tcW w:w="0" w:type="auto"/>
                  <w:tcMar>
                    <w:top w:w="60" w:type="dxa"/>
                    <w:left w:w="240" w:type="dxa"/>
                    <w:bottom w:w="60" w:type="dxa"/>
                    <w:right w:w="240" w:type="dxa"/>
                  </w:tcMar>
                  <w:vAlign w:val="center"/>
                  <w:hideMark/>
                </w:tcPr>
                <w:p w:rsidR="00966559" w:rsidRPr="00966559" w:rsidRDefault="00966559">
                  <w:pPr>
                    <w:jc w:val="center"/>
                    <w:rPr>
                      <w:rFonts w:ascii="Arial" w:hAnsi="Arial" w:cs="Arial"/>
                      <w:color w:val="000000" w:themeColor="text1"/>
                      <w:sz w:val="20"/>
                      <w:szCs w:val="20"/>
                    </w:rPr>
                  </w:pPr>
                  <w:r w:rsidRPr="00966559">
                    <w:rPr>
                      <w:rFonts w:ascii="Arial" w:hAnsi="Arial" w:cs="Arial"/>
                      <w:color w:val="000000" w:themeColor="text1"/>
                      <w:sz w:val="20"/>
                      <w:szCs w:val="20"/>
                    </w:rPr>
                    <w:lastRenderedPageBreak/>
                    <w:t>60</w:t>
                  </w:r>
                </w:p>
              </w:tc>
              <w:tc>
                <w:tcPr>
                  <w:tcW w:w="0" w:type="auto"/>
                  <w:tcMar>
                    <w:top w:w="60" w:type="dxa"/>
                    <w:left w:w="240" w:type="dxa"/>
                    <w:bottom w:w="60" w:type="dxa"/>
                    <w:right w:w="240" w:type="dxa"/>
                  </w:tcMar>
                  <w:vAlign w:val="center"/>
                  <w:hideMark/>
                </w:tcPr>
                <w:p w:rsidR="00966559" w:rsidRPr="00966559" w:rsidRDefault="00966559">
                  <w:pPr>
                    <w:rPr>
                      <w:rFonts w:ascii="Arial" w:hAnsi="Arial" w:cs="Arial"/>
                      <w:color w:val="000000" w:themeColor="text1"/>
                      <w:sz w:val="20"/>
                      <w:szCs w:val="20"/>
                    </w:rPr>
                  </w:pPr>
                  <w:r w:rsidRPr="00966559">
                    <w:rPr>
                      <w:rFonts w:ascii="Arial" w:hAnsi="Arial" w:cs="Arial"/>
                      <w:color w:val="000000" w:themeColor="text1"/>
                      <w:sz w:val="20"/>
                      <w:szCs w:val="20"/>
                    </w:rPr>
                    <w:t xml:space="preserve">Normal conversation </w:t>
                  </w:r>
                </w:p>
              </w:tc>
            </w:tr>
            <w:tr w:rsidR="00966559" w:rsidRPr="00966559">
              <w:trPr>
                <w:tblCellSpacing w:w="0" w:type="dxa"/>
                <w:jc w:val="center"/>
              </w:trPr>
              <w:tc>
                <w:tcPr>
                  <w:tcW w:w="0" w:type="auto"/>
                  <w:tcMar>
                    <w:top w:w="60" w:type="dxa"/>
                    <w:left w:w="240" w:type="dxa"/>
                    <w:bottom w:w="60" w:type="dxa"/>
                    <w:right w:w="240" w:type="dxa"/>
                  </w:tcMar>
                  <w:vAlign w:val="center"/>
                  <w:hideMark/>
                </w:tcPr>
                <w:p w:rsidR="00966559" w:rsidRPr="00966559" w:rsidRDefault="00966559">
                  <w:pPr>
                    <w:jc w:val="center"/>
                    <w:rPr>
                      <w:rFonts w:ascii="Arial" w:hAnsi="Arial" w:cs="Arial"/>
                      <w:color w:val="000000" w:themeColor="text1"/>
                      <w:sz w:val="20"/>
                      <w:szCs w:val="20"/>
                    </w:rPr>
                  </w:pPr>
                  <w:r w:rsidRPr="00966559">
                    <w:rPr>
                      <w:rFonts w:ascii="Arial" w:hAnsi="Arial" w:cs="Arial"/>
                      <w:color w:val="000000" w:themeColor="text1"/>
                      <w:sz w:val="20"/>
                      <w:szCs w:val="20"/>
                    </w:rPr>
                    <w:t>40</w:t>
                  </w:r>
                </w:p>
              </w:tc>
              <w:tc>
                <w:tcPr>
                  <w:tcW w:w="0" w:type="auto"/>
                  <w:tcMar>
                    <w:top w:w="60" w:type="dxa"/>
                    <w:left w:w="240" w:type="dxa"/>
                    <w:bottom w:w="60" w:type="dxa"/>
                    <w:right w:w="240" w:type="dxa"/>
                  </w:tcMar>
                  <w:vAlign w:val="center"/>
                  <w:hideMark/>
                </w:tcPr>
                <w:p w:rsidR="00966559" w:rsidRPr="00966559" w:rsidRDefault="00966559">
                  <w:pPr>
                    <w:rPr>
                      <w:rFonts w:ascii="Arial" w:hAnsi="Arial" w:cs="Arial"/>
                      <w:color w:val="000000" w:themeColor="text1"/>
                      <w:sz w:val="20"/>
                      <w:szCs w:val="20"/>
                    </w:rPr>
                  </w:pPr>
                  <w:r w:rsidRPr="00966559">
                    <w:rPr>
                      <w:rFonts w:ascii="Arial" w:hAnsi="Arial" w:cs="Arial"/>
                      <w:color w:val="000000" w:themeColor="text1"/>
                      <w:sz w:val="20"/>
                      <w:szCs w:val="20"/>
                    </w:rPr>
                    <w:t>Refrigerator humming</w:t>
                  </w:r>
                </w:p>
              </w:tc>
            </w:tr>
            <w:tr w:rsidR="00966559" w:rsidRPr="00966559">
              <w:trPr>
                <w:tblCellSpacing w:w="0" w:type="dxa"/>
                <w:jc w:val="center"/>
              </w:trPr>
              <w:tc>
                <w:tcPr>
                  <w:tcW w:w="0" w:type="auto"/>
                  <w:tcMar>
                    <w:top w:w="60" w:type="dxa"/>
                    <w:left w:w="240" w:type="dxa"/>
                    <w:bottom w:w="60" w:type="dxa"/>
                    <w:right w:w="240" w:type="dxa"/>
                  </w:tcMar>
                  <w:vAlign w:val="center"/>
                  <w:hideMark/>
                </w:tcPr>
                <w:p w:rsidR="00966559" w:rsidRPr="00966559" w:rsidRDefault="00966559">
                  <w:pPr>
                    <w:jc w:val="center"/>
                    <w:rPr>
                      <w:rFonts w:ascii="Arial" w:hAnsi="Arial" w:cs="Arial"/>
                      <w:color w:val="000000" w:themeColor="text1"/>
                      <w:sz w:val="20"/>
                      <w:szCs w:val="20"/>
                    </w:rPr>
                  </w:pPr>
                  <w:r w:rsidRPr="00966559">
                    <w:rPr>
                      <w:rFonts w:ascii="Arial" w:hAnsi="Arial" w:cs="Arial"/>
                      <w:color w:val="000000" w:themeColor="text1"/>
                      <w:sz w:val="20"/>
                      <w:szCs w:val="20"/>
                    </w:rPr>
                    <w:t>30</w:t>
                  </w:r>
                </w:p>
              </w:tc>
              <w:tc>
                <w:tcPr>
                  <w:tcW w:w="0" w:type="auto"/>
                  <w:tcMar>
                    <w:top w:w="60" w:type="dxa"/>
                    <w:left w:w="240" w:type="dxa"/>
                    <w:bottom w:w="60" w:type="dxa"/>
                    <w:right w:w="240" w:type="dxa"/>
                  </w:tcMar>
                  <w:vAlign w:val="center"/>
                  <w:hideMark/>
                </w:tcPr>
                <w:p w:rsidR="00966559" w:rsidRPr="00966559" w:rsidRDefault="00966559">
                  <w:pPr>
                    <w:rPr>
                      <w:rFonts w:ascii="Arial" w:hAnsi="Arial" w:cs="Arial"/>
                      <w:color w:val="000000" w:themeColor="text1"/>
                      <w:sz w:val="20"/>
                      <w:szCs w:val="20"/>
                    </w:rPr>
                  </w:pPr>
                  <w:r w:rsidRPr="00966559">
                    <w:rPr>
                      <w:rFonts w:ascii="Arial" w:hAnsi="Arial" w:cs="Arial"/>
                      <w:color w:val="000000" w:themeColor="text1"/>
                      <w:sz w:val="20"/>
                      <w:szCs w:val="20"/>
                    </w:rPr>
                    <w:t xml:space="preserve">Whispered voice </w:t>
                  </w:r>
                </w:p>
              </w:tc>
            </w:tr>
          </w:tbl>
          <w:p w:rsidR="00966559" w:rsidRPr="00966559" w:rsidRDefault="00966559">
            <w:pPr>
              <w:rPr>
                <w:rFonts w:ascii="Arial" w:hAnsi="Arial" w:cs="Arial"/>
                <w:color w:val="000000" w:themeColor="text1"/>
                <w:sz w:val="20"/>
                <w:szCs w:val="20"/>
              </w:rPr>
            </w:pPr>
          </w:p>
        </w:tc>
        <w:tc>
          <w:tcPr>
            <w:tcW w:w="0" w:type="auto"/>
            <w:hideMark/>
          </w:tcPr>
          <w:p w:rsidR="00966559" w:rsidRPr="00966559" w:rsidRDefault="00966559">
            <w:pPr>
              <w:pStyle w:val="Heading2"/>
              <w:rPr>
                <w:color w:val="000000" w:themeColor="text1"/>
              </w:rPr>
            </w:pPr>
            <w:r w:rsidRPr="00966559">
              <w:rPr>
                <w:color w:val="000000" w:themeColor="text1"/>
              </w:rPr>
              <w:lastRenderedPageBreak/>
              <w:t>Protect Your Ears.</w:t>
            </w:r>
          </w:p>
          <w:p w:rsidR="00966559" w:rsidRPr="00966559" w:rsidRDefault="00966559">
            <w:pPr>
              <w:pStyle w:val="Heading3"/>
              <w:rPr>
                <w:color w:val="000000" w:themeColor="text1"/>
              </w:rPr>
            </w:pPr>
            <w:r w:rsidRPr="00966559">
              <w:rPr>
                <w:color w:val="000000" w:themeColor="text1"/>
              </w:rPr>
              <w:t xml:space="preserve">Know which noises can cause damage. Wear ear plugs when you are involved in a loud activity. </w:t>
            </w:r>
          </w:p>
          <w:p w:rsidR="00966559" w:rsidRPr="00966559" w:rsidRDefault="00966559">
            <w:pPr>
              <w:pStyle w:val="Heading4"/>
              <w:rPr>
                <w:color w:val="000000" w:themeColor="text1"/>
              </w:rPr>
            </w:pPr>
            <w:r w:rsidRPr="00966559">
              <w:rPr>
                <w:color w:val="000000" w:themeColor="text1"/>
              </w:rPr>
              <w:t>110 Decibels</w:t>
            </w:r>
          </w:p>
          <w:p w:rsidR="00966559" w:rsidRPr="00966559" w:rsidRDefault="00966559">
            <w:pPr>
              <w:pStyle w:val="NormalWeb"/>
              <w:rPr>
                <w:color w:val="000000" w:themeColor="text1"/>
                <w:sz w:val="20"/>
                <w:szCs w:val="20"/>
              </w:rPr>
            </w:pPr>
            <w:r w:rsidRPr="00966559">
              <w:rPr>
                <w:color w:val="000000" w:themeColor="text1"/>
                <w:sz w:val="20"/>
                <w:szCs w:val="20"/>
              </w:rPr>
              <w:t xml:space="preserve">Regular exposure of more than 1 minute risks permanent hearing loss. </w:t>
            </w:r>
          </w:p>
          <w:p w:rsidR="00966559" w:rsidRPr="00966559" w:rsidRDefault="00966559">
            <w:pPr>
              <w:pStyle w:val="Heading4"/>
              <w:rPr>
                <w:color w:val="000000" w:themeColor="text1"/>
              </w:rPr>
            </w:pPr>
            <w:r w:rsidRPr="00966559">
              <w:rPr>
                <w:color w:val="000000" w:themeColor="text1"/>
              </w:rPr>
              <w:t>100 Decibels</w:t>
            </w:r>
          </w:p>
          <w:p w:rsidR="00966559" w:rsidRPr="00966559" w:rsidRDefault="00966559">
            <w:pPr>
              <w:pStyle w:val="NormalWeb"/>
              <w:rPr>
                <w:color w:val="000000" w:themeColor="text1"/>
                <w:sz w:val="20"/>
                <w:szCs w:val="20"/>
              </w:rPr>
            </w:pPr>
            <w:r w:rsidRPr="00966559">
              <w:rPr>
                <w:color w:val="000000" w:themeColor="text1"/>
                <w:sz w:val="20"/>
                <w:szCs w:val="20"/>
              </w:rPr>
              <w:t xml:space="preserve">No more than 15 minutes of unprotected exposure recommended. </w:t>
            </w:r>
          </w:p>
          <w:p w:rsidR="00966559" w:rsidRPr="00966559" w:rsidRDefault="00966559">
            <w:pPr>
              <w:pStyle w:val="Heading4"/>
              <w:rPr>
                <w:color w:val="000000" w:themeColor="text1"/>
              </w:rPr>
            </w:pPr>
            <w:r w:rsidRPr="00966559">
              <w:rPr>
                <w:color w:val="000000" w:themeColor="text1"/>
              </w:rPr>
              <w:t>85 Decibels</w:t>
            </w:r>
          </w:p>
          <w:p w:rsidR="00966559" w:rsidRPr="00966559" w:rsidRDefault="00966559">
            <w:pPr>
              <w:pStyle w:val="NormalWeb"/>
              <w:rPr>
                <w:color w:val="000000" w:themeColor="text1"/>
                <w:sz w:val="20"/>
                <w:szCs w:val="20"/>
              </w:rPr>
            </w:pPr>
            <w:r w:rsidRPr="00966559">
              <w:rPr>
                <w:color w:val="000000" w:themeColor="text1"/>
                <w:sz w:val="20"/>
                <w:szCs w:val="20"/>
              </w:rPr>
              <w:t xml:space="preserve">Prolonged exposure to any noise at or above 85 decibels can cause gradual hearing loss. </w:t>
            </w:r>
          </w:p>
          <w:p w:rsidR="00966559" w:rsidRPr="00966559" w:rsidRDefault="00966559">
            <w:pPr>
              <w:pStyle w:val="Heading3"/>
              <w:rPr>
                <w:color w:val="000000" w:themeColor="text1"/>
              </w:rPr>
            </w:pPr>
            <w:r w:rsidRPr="00966559">
              <w:rPr>
                <w:color w:val="000000" w:themeColor="text1"/>
              </w:rPr>
              <w:t>Get sound advice.</w:t>
            </w:r>
          </w:p>
          <w:p w:rsidR="00966559" w:rsidRPr="00966559" w:rsidRDefault="00966559">
            <w:pPr>
              <w:pStyle w:val="NormalWeb"/>
              <w:rPr>
                <w:color w:val="000000" w:themeColor="text1"/>
                <w:sz w:val="20"/>
                <w:szCs w:val="20"/>
              </w:rPr>
            </w:pPr>
            <w:r w:rsidRPr="00966559">
              <w:rPr>
                <w:color w:val="000000" w:themeColor="text1"/>
                <w:sz w:val="20"/>
                <w:szCs w:val="20"/>
              </w:rPr>
              <w:lastRenderedPageBreak/>
              <w:t xml:space="preserve">For more information, contact the </w:t>
            </w:r>
            <w:hyperlink r:id="rId10" w:history="1">
              <w:r w:rsidRPr="00966559">
                <w:rPr>
                  <w:rStyle w:val="Hyperlink"/>
                  <w:color w:val="000000" w:themeColor="text1"/>
                  <w:sz w:val="20"/>
                  <w:szCs w:val="20"/>
                </w:rPr>
                <w:t>NIDCD Information Clearinghouse</w:t>
              </w:r>
            </w:hyperlink>
            <w:r w:rsidRPr="00966559">
              <w:rPr>
                <w:color w:val="000000" w:themeColor="text1"/>
                <w:sz w:val="20"/>
                <w:szCs w:val="20"/>
              </w:rPr>
              <w:t>.</w:t>
            </w:r>
          </w:p>
        </w:tc>
      </w:tr>
    </w:tbl>
    <w:p w:rsidR="00E67161" w:rsidRDefault="00E67161"/>
    <w:sectPr w:rsidR="00E67161" w:rsidSect="00E671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C1A84"/>
    <w:multiLevelType w:val="multilevel"/>
    <w:tmpl w:val="46D2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6559"/>
    <w:rsid w:val="00966559"/>
    <w:rsid w:val="00E67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61"/>
  </w:style>
  <w:style w:type="paragraph" w:styleId="Heading2">
    <w:name w:val="heading 2"/>
    <w:basedOn w:val="Normal"/>
    <w:link w:val="Heading2Char"/>
    <w:uiPriority w:val="9"/>
    <w:qFormat/>
    <w:rsid w:val="00966559"/>
    <w:pPr>
      <w:spacing w:before="100" w:beforeAutospacing="1" w:after="100" w:afterAutospacing="1" w:line="240" w:lineRule="auto"/>
      <w:outlineLvl w:val="1"/>
    </w:pPr>
    <w:rPr>
      <w:rFonts w:ascii="Arial" w:eastAsia="Times New Roman" w:hAnsi="Arial" w:cs="Arial"/>
      <w:b/>
      <w:bCs/>
      <w:color w:val="0066CC"/>
      <w:sz w:val="24"/>
      <w:szCs w:val="24"/>
    </w:rPr>
  </w:style>
  <w:style w:type="paragraph" w:styleId="Heading3">
    <w:name w:val="heading 3"/>
    <w:basedOn w:val="Normal"/>
    <w:link w:val="Heading3Char"/>
    <w:uiPriority w:val="9"/>
    <w:qFormat/>
    <w:rsid w:val="00966559"/>
    <w:pPr>
      <w:spacing w:before="100" w:beforeAutospacing="1" w:after="180" w:line="240" w:lineRule="auto"/>
      <w:outlineLvl w:val="2"/>
    </w:pPr>
    <w:rPr>
      <w:rFonts w:ascii="Arial" w:eastAsia="Times New Roman" w:hAnsi="Arial" w:cs="Arial"/>
      <w:b/>
      <w:bCs/>
      <w:color w:val="000099"/>
      <w:sz w:val="21"/>
      <w:szCs w:val="21"/>
    </w:rPr>
  </w:style>
  <w:style w:type="paragraph" w:styleId="Heading4">
    <w:name w:val="heading 4"/>
    <w:basedOn w:val="Normal"/>
    <w:link w:val="Heading4Char"/>
    <w:uiPriority w:val="9"/>
    <w:qFormat/>
    <w:rsid w:val="00966559"/>
    <w:pPr>
      <w:spacing w:before="120" w:after="120" w:line="240" w:lineRule="auto"/>
      <w:ind w:left="120"/>
      <w:outlineLvl w:val="3"/>
    </w:pPr>
    <w:rPr>
      <w:rFonts w:ascii="Arial" w:eastAsia="Times New Roman" w:hAnsi="Arial" w:cs="Arial"/>
      <w:b/>
      <w:bCs/>
      <w:color w:val="3399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6559"/>
    <w:rPr>
      <w:color w:val="660099"/>
      <w:u w:val="single"/>
    </w:rPr>
  </w:style>
  <w:style w:type="paragraph" w:styleId="NormalWeb">
    <w:name w:val="Normal (Web)"/>
    <w:basedOn w:val="Normal"/>
    <w:uiPriority w:val="99"/>
    <w:unhideWhenUsed/>
    <w:rsid w:val="00966559"/>
    <w:pPr>
      <w:spacing w:before="100" w:beforeAutospacing="1" w:after="100" w:afterAutospacing="1" w:line="240" w:lineRule="auto"/>
    </w:pPr>
    <w:rPr>
      <w:rFonts w:ascii="Arial" w:eastAsia="Times New Roman" w:hAnsi="Arial" w:cs="Arial"/>
      <w:sz w:val="24"/>
      <w:szCs w:val="24"/>
    </w:rPr>
  </w:style>
  <w:style w:type="paragraph" w:customStyle="1" w:styleId="attribution">
    <w:name w:val="attribution"/>
    <w:basedOn w:val="Normal"/>
    <w:rsid w:val="00966559"/>
    <w:pPr>
      <w:spacing w:before="100" w:beforeAutospacing="1" w:after="100" w:afterAutospacing="1" w:line="240" w:lineRule="auto"/>
    </w:pPr>
    <w:rPr>
      <w:rFonts w:ascii="Arial" w:eastAsia="Times New Roman" w:hAnsi="Arial" w:cs="Arial"/>
      <w:sz w:val="24"/>
      <w:szCs w:val="24"/>
    </w:rPr>
  </w:style>
  <w:style w:type="character" w:customStyle="1" w:styleId="Heading2Char">
    <w:name w:val="Heading 2 Char"/>
    <w:basedOn w:val="DefaultParagraphFont"/>
    <w:link w:val="Heading2"/>
    <w:uiPriority w:val="9"/>
    <w:rsid w:val="00966559"/>
    <w:rPr>
      <w:rFonts w:ascii="Arial" w:eastAsia="Times New Roman" w:hAnsi="Arial" w:cs="Arial"/>
      <w:b/>
      <w:bCs/>
      <w:color w:val="0066CC"/>
      <w:sz w:val="24"/>
      <w:szCs w:val="24"/>
    </w:rPr>
  </w:style>
  <w:style w:type="character" w:customStyle="1" w:styleId="Heading3Char">
    <w:name w:val="Heading 3 Char"/>
    <w:basedOn w:val="DefaultParagraphFont"/>
    <w:link w:val="Heading3"/>
    <w:uiPriority w:val="9"/>
    <w:rsid w:val="00966559"/>
    <w:rPr>
      <w:rFonts w:ascii="Arial" w:eastAsia="Times New Roman" w:hAnsi="Arial" w:cs="Arial"/>
      <w:b/>
      <w:bCs/>
      <w:color w:val="000099"/>
      <w:sz w:val="21"/>
      <w:szCs w:val="21"/>
    </w:rPr>
  </w:style>
  <w:style w:type="character" w:customStyle="1" w:styleId="Heading4Char">
    <w:name w:val="Heading 4 Char"/>
    <w:basedOn w:val="DefaultParagraphFont"/>
    <w:link w:val="Heading4"/>
    <w:uiPriority w:val="9"/>
    <w:rsid w:val="00966559"/>
    <w:rPr>
      <w:rFonts w:ascii="Arial" w:eastAsia="Times New Roman" w:hAnsi="Arial" w:cs="Arial"/>
      <w:b/>
      <w:bCs/>
      <w:color w:val="339933"/>
      <w:sz w:val="20"/>
      <w:szCs w:val="20"/>
    </w:rPr>
  </w:style>
  <w:style w:type="character" w:customStyle="1" w:styleId="style1">
    <w:name w:val="style1"/>
    <w:basedOn w:val="DefaultParagraphFont"/>
    <w:rsid w:val="00966559"/>
  </w:style>
</w:styles>
</file>

<file path=word/webSettings.xml><?xml version="1.0" encoding="utf-8"?>
<w:webSettings xmlns:r="http://schemas.openxmlformats.org/officeDocument/2006/relationships" xmlns:w="http://schemas.openxmlformats.org/wordprocessingml/2006/main">
  <w:divs>
    <w:div w:id="18031836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m.nih.gov/medlineplus/hearingaids.html" TargetMode="External"/><Relationship Id="rId3" Type="http://schemas.openxmlformats.org/officeDocument/2006/relationships/settings" Target="settings.xml"/><Relationship Id="rId7" Type="http://schemas.openxmlformats.org/officeDocument/2006/relationships/hyperlink" Target="http://www.nlm.nih.gov/medlineplus/nois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lm.nih.gov/medlineplus/meningitis.html" TargetMode="External"/><Relationship Id="rId11" Type="http://schemas.openxmlformats.org/officeDocument/2006/relationships/fontTable" Target="fontTable.xml"/><Relationship Id="rId5" Type="http://schemas.openxmlformats.org/officeDocument/2006/relationships/hyperlink" Target="http://www.nlm.nih.gov/medlineplus/earinfections.html" TargetMode="External"/><Relationship Id="rId10" Type="http://schemas.openxmlformats.org/officeDocument/2006/relationships/hyperlink" Target="http://www.nidcd.nih.gov/health/misc/clearinghouse.asp" TargetMode="External"/><Relationship Id="rId4" Type="http://schemas.openxmlformats.org/officeDocument/2006/relationships/webSettings" Target="webSettings.xml"/><Relationship Id="rId9" Type="http://schemas.openxmlformats.org/officeDocument/2006/relationships/hyperlink" Target="http://www.nlm.nih.gov/medlineplus/cochlearimpla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2009-10-29T14:38:00Z</dcterms:created>
  <dcterms:modified xsi:type="dcterms:W3CDTF">2009-10-29T14:42:00Z</dcterms:modified>
</cp:coreProperties>
</file>