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43C" w:rsidRPr="00AB532A" w:rsidRDefault="0067043C" w:rsidP="00DB4DD1">
      <w:pPr>
        <w:spacing w:line="480" w:lineRule="auto"/>
        <w:rPr>
          <w:rFonts w:cs="Times New Roman"/>
          <w:color w:val="002060"/>
          <w:szCs w:val="24"/>
        </w:rPr>
      </w:pPr>
      <w:r w:rsidRPr="00AB532A">
        <w:rPr>
          <w:rFonts w:cs="Times New Roman"/>
          <w:color w:val="002060"/>
          <w:szCs w:val="24"/>
        </w:rPr>
        <w:t>Marissa Sexton</w:t>
      </w:r>
    </w:p>
    <w:p w:rsidR="0067043C" w:rsidRPr="00AB532A" w:rsidRDefault="0067043C" w:rsidP="00DB4DD1">
      <w:pPr>
        <w:spacing w:line="480" w:lineRule="auto"/>
        <w:rPr>
          <w:rFonts w:cs="Times New Roman"/>
          <w:color w:val="002060"/>
          <w:szCs w:val="24"/>
        </w:rPr>
      </w:pPr>
      <w:r w:rsidRPr="00AB532A">
        <w:rPr>
          <w:rFonts w:cs="Times New Roman"/>
          <w:color w:val="002060"/>
          <w:szCs w:val="24"/>
        </w:rPr>
        <w:t>03.27.09</w:t>
      </w:r>
    </w:p>
    <w:p w:rsidR="0067043C" w:rsidRPr="00AB532A" w:rsidRDefault="0067043C" w:rsidP="00DB4DD1">
      <w:pPr>
        <w:spacing w:line="480" w:lineRule="auto"/>
        <w:rPr>
          <w:rFonts w:cs="Times New Roman"/>
          <w:color w:val="002060"/>
          <w:szCs w:val="24"/>
        </w:rPr>
      </w:pPr>
      <w:r w:rsidRPr="00AB532A">
        <w:rPr>
          <w:rFonts w:cs="Times New Roman"/>
          <w:color w:val="002060"/>
          <w:szCs w:val="24"/>
        </w:rPr>
        <w:t>ENGL 300-02</w:t>
      </w:r>
    </w:p>
    <w:p w:rsidR="0067043C" w:rsidRPr="00AB532A" w:rsidRDefault="0067043C" w:rsidP="00DB4DD1">
      <w:pPr>
        <w:spacing w:line="480" w:lineRule="auto"/>
        <w:rPr>
          <w:rFonts w:cs="Times New Roman"/>
          <w:i/>
          <w:color w:val="002060"/>
          <w:szCs w:val="24"/>
        </w:rPr>
      </w:pPr>
      <w:r w:rsidRPr="00AB532A">
        <w:rPr>
          <w:rFonts w:cs="Times New Roman"/>
          <w:i/>
          <w:color w:val="002060"/>
          <w:szCs w:val="24"/>
        </w:rPr>
        <w:t>Heart of Darkness</w:t>
      </w:r>
    </w:p>
    <w:p w:rsidR="0067043C" w:rsidRPr="00AB532A" w:rsidRDefault="00BA4E72" w:rsidP="00BA4E72">
      <w:pPr>
        <w:tabs>
          <w:tab w:val="center" w:pos="4680"/>
          <w:tab w:val="left" w:pos="6690"/>
        </w:tabs>
        <w:spacing w:line="240" w:lineRule="auto"/>
        <w:rPr>
          <w:rFonts w:cs="Times New Roman"/>
          <w:color w:val="002060"/>
          <w:szCs w:val="24"/>
        </w:rPr>
      </w:pPr>
      <w:r w:rsidRPr="00AB532A">
        <w:rPr>
          <w:rFonts w:cs="Times New Roman"/>
          <w:color w:val="002060"/>
          <w:szCs w:val="24"/>
        </w:rPr>
        <w:tab/>
        <w:t>Why the Women are “out of it:”</w:t>
      </w:r>
      <w:r w:rsidR="0067043C" w:rsidRPr="00AB532A">
        <w:rPr>
          <w:rFonts w:cs="Times New Roman"/>
          <w:color w:val="002060"/>
          <w:szCs w:val="24"/>
        </w:rPr>
        <w:t xml:space="preserve"> </w:t>
      </w:r>
      <w:r w:rsidRPr="00AB532A">
        <w:rPr>
          <w:rFonts w:cs="Times New Roman"/>
          <w:color w:val="002060"/>
          <w:szCs w:val="24"/>
        </w:rPr>
        <w:tab/>
      </w:r>
    </w:p>
    <w:p w:rsidR="0067043C" w:rsidRPr="00AB532A" w:rsidRDefault="0067043C" w:rsidP="00BA4E72">
      <w:pPr>
        <w:spacing w:line="240" w:lineRule="auto"/>
        <w:jc w:val="center"/>
        <w:rPr>
          <w:rFonts w:cs="Times New Roman"/>
          <w:i/>
          <w:color w:val="002060"/>
          <w:szCs w:val="24"/>
        </w:rPr>
      </w:pPr>
      <w:r w:rsidRPr="00AB532A">
        <w:rPr>
          <w:rFonts w:cs="Times New Roman"/>
          <w:color w:val="002060"/>
          <w:szCs w:val="24"/>
        </w:rPr>
        <w:t xml:space="preserve"> Binary Oppositions in Joseph Conrad’s </w:t>
      </w:r>
      <w:r w:rsidRPr="00AB532A">
        <w:rPr>
          <w:rFonts w:cs="Times New Roman"/>
          <w:i/>
          <w:color w:val="002060"/>
          <w:szCs w:val="24"/>
        </w:rPr>
        <w:t>Heart of Darkness</w:t>
      </w:r>
    </w:p>
    <w:p w:rsidR="00BA4E72" w:rsidRPr="00AB532A" w:rsidRDefault="00BA4E72" w:rsidP="00BA4E72">
      <w:pPr>
        <w:spacing w:line="240" w:lineRule="auto"/>
        <w:jc w:val="center"/>
        <w:rPr>
          <w:rFonts w:cs="Times New Roman"/>
          <w:color w:val="002060"/>
          <w:szCs w:val="24"/>
        </w:rPr>
      </w:pPr>
    </w:p>
    <w:p w:rsidR="00C43FE1" w:rsidRPr="00AB532A" w:rsidRDefault="0067043C" w:rsidP="00DB4DD1">
      <w:pPr>
        <w:spacing w:line="480" w:lineRule="auto"/>
        <w:ind w:firstLine="720"/>
        <w:rPr>
          <w:rFonts w:cs="Times New Roman"/>
          <w:color w:val="002060"/>
          <w:szCs w:val="24"/>
        </w:rPr>
      </w:pPr>
      <w:r w:rsidRPr="00AB532A">
        <w:rPr>
          <w:rFonts w:cs="Times New Roman"/>
          <w:color w:val="002060"/>
          <w:szCs w:val="24"/>
        </w:rPr>
        <w:t xml:space="preserve">The use of binary oppositions in Joseph Conrad’s </w:t>
      </w:r>
      <w:r w:rsidRPr="00AB532A">
        <w:rPr>
          <w:rFonts w:cs="Times New Roman"/>
          <w:i/>
          <w:color w:val="002060"/>
          <w:szCs w:val="24"/>
        </w:rPr>
        <w:t>Heart of Darkness</w:t>
      </w:r>
      <w:r w:rsidRPr="00AB532A">
        <w:rPr>
          <w:rFonts w:cs="Times New Roman"/>
          <w:color w:val="002060"/>
          <w:szCs w:val="24"/>
        </w:rPr>
        <w:t xml:space="preserve"> is very apparent and deliberate.  An important opposition that is reoccurring throughout the novella is that of the men’s sphere versus the women’s sphere.  </w:t>
      </w:r>
      <w:r w:rsidR="00E672A8" w:rsidRPr="00AB532A">
        <w:rPr>
          <w:rFonts w:cs="Times New Roman"/>
          <w:color w:val="002060"/>
          <w:szCs w:val="24"/>
        </w:rPr>
        <w:t>Conrad uses the main character and story teller, Marlow, to present a world that is split into the</w:t>
      </w:r>
      <w:r w:rsidR="00C43FE1" w:rsidRPr="00AB532A">
        <w:rPr>
          <w:rFonts w:cs="Times New Roman"/>
          <w:color w:val="002060"/>
          <w:szCs w:val="24"/>
        </w:rPr>
        <w:t>se</w:t>
      </w:r>
      <w:r w:rsidR="00E672A8" w:rsidRPr="00AB532A">
        <w:rPr>
          <w:rFonts w:cs="Times New Roman"/>
          <w:color w:val="002060"/>
          <w:szCs w:val="24"/>
        </w:rPr>
        <w:t xml:space="preserve"> two different </w:t>
      </w:r>
      <w:r w:rsidR="003A5582" w:rsidRPr="00AB532A">
        <w:rPr>
          <w:rFonts w:cs="Times New Roman"/>
          <w:color w:val="002060"/>
          <w:szCs w:val="24"/>
        </w:rPr>
        <w:t>communities of people</w:t>
      </w:r>
      <w:r w:rsidR="00F35038" w:rsidRPr="00AB532A">
        <w:rPr>
          <w:rFonts w:cs="Times New Roman"/>
          <w:color w:val="002060"/>
          <w:szCs w:val="24"/>
        </w:rPr>
        <w:t xml:space="preserve"> (</w:t>
      </w:r>
      <w:r w:rsidR="00C70933" w:rsidRPr="00AB532A">
        <w:rPr>
          <w:rFonts w:cs="Times New Roman"/>
          <w:color w:val="002060"/>
          <w:szCs w:val="24"/>
        </w:rPr>
        <w:t>Straus</w:t>
      </w:r>
      <w:r w:rsidR="00457F6E" w:rsidRPr="00AB532A">
        <w:rPr>
          <w:rFonts w:cs="Times New Roman"/>
          <w:color w:val="002060"/>
          <w:szCs w:val="24"/>
        </w:rPr>
        <w:t xml:space="preserve"> 124</w:t>
      </w:r>
      <w:r w:rsidR="00F35038" w:rsidRPr="00AB532A">
        <w:rPr>
          <w:rFonts w:cs="Times New Roman"/>
          <w:color w:val="002060"/>
          <w:szCs w:val="24"/>
        </w:rPr>
        <w:t>)</w:t>
      </w:r>
      <w:r w:rsidR="00E672A8" w:rsidRPr="00AB532A">
        <w:rPr>
          <w:rFonts w:cs="Times New Roman"/>
          <w:color w:val="002060"/>
          <w:szCs w:val="24"/>
        </w:rPr>
        <w:t xml:space="preserve">.  There is some confusion as to whether </w:t>
      </w:r>
      <w:r w:rsidR="00C43FE1" w:rsidRPr="00AB532A">
        <w:rPr>
          <w:rFonts w:cs="Times New Roman"/>
          <w:color w:val="002060"/>
          <w:szCs w:val="24"/>
        </w:rPr>
        <w:t>Conrad</w:t>
      </w:r>
      <w:r w:rsidR="00E672A8" w:rsidRPr="00AB532A">
        <w:rPr>
          <w:rFonts w:cs="Times New Roman"/>
          <w:color w:val="002060"/>
          <w:szCs w:val="24"/>
        </w:rPr>
        <w:t xml:space="preserve"> uses these binary oppositions to </w:t>
      </w:r>
      <w:r w:rsidR="00C43FE1" w:rsidRPr="00AB532A">
        <w:rPr>
          <w:rFonts w:cs="Times New Roman"/>
          <w:color w:val="002060"/>
          <w:szCs w:val="24"/>
        </w:rPr>
        <w:t xml:space="preserve">suggest </w:t>
      </w:r>
      <w:r w:rsidR="00E672A8" w:rsidRPr="00AB532A">
        <w:rPr>
          <w:rFonts w:cs="Times New Roman"/>
          <w:color w:val="002060"/>
          <w:szCs w:val="24"/>
        </w:rPr>
        <w:t>keep</w:t>
      </w:r>
      <w:r w:rsidR="00C43FE1" w:rsidRPr="00AB532A">
        <w:rPr>
          <w:rFonts w:cs="Times New Roman"/>
          <w:color w:val="002060"/>
          <w:szCs w:val="24"/>
        </w:rPr>
        <w:t>ing</w:t>
      </w:r>
      <w:r w:rsidR="00E672A8" w:rsidRPr="00AB532A">
        <w:rPr>
          <w:rFonts w:cs="Times New Roman"/>
          <w:color w:val="002060"/>
          <w:szCs w:val="24"/>
        </w:rPr>
        <w:t xml:space="preserve"> the women out of </w:t>
      </w:r>
      <w:r w:rsidR="00C43FE1" w:rsidRPr="00AB532A">
        <w:rPr>
          <w:rFonts w:cs="Times New Roman"/>
          <w:color w:val="002060"/>
          <w:szCs w:val="24"/>
        </w:rPr>
        <w:t>the</w:t>
      </w:r>
      <w:r w:rsidR="00E672A8" w:rsidRPr="00AB532A">
        <w:rPr>
          <w:rFonts w:cs="Times New Roman"/>
          <w:color w:val="002060"/>
          <w:szCs w:val="24"/>
        </w:rPr>
        <w:t xml:space="preserve"> wilderness</w:t>
      </w:r>
      <w:r w:rsidR="00C43FE1" w:rsidRPr="00AB532A">
        <w:rPr>
          <w:rFonts w:cs="Times New Roman"/>
          <w:color w:val="002060"/>
          <w:szCs w:val="24"/>
        </w:rPr>
        <w:t xml:space="preserve"> because it is the </w:t>
      </w:r>
      <w:r w:rsidR="00E672A8" w:rsidRPr="00AB532A">
        <w:rPr>
          <w:rFonts w:cs="Times New Roman"/>
          <w:color w:val="002060"/>
          <w:szCs w:val="24"/>
        </w:rPr>
        <w:t xml:space="preserve">property of the male sphere, in which </w:t>
      </w:r>
      <w:r w:rsidR="00C43FE1" w:rsidRPr="00AB532A">
        <w:rPr>
          <w:rFonts w:cs="Times New Roman"/>
          <w:color w:val="002060"/>
          <w:szCs w:val="24"/>
        </w:rPr>
        <w:t>women</w:t>
      </w:r>
      <w:r w:rsidR="00E672A8" w:rsidRPr="00AB532A">
        <w:rPr>
          <w:rFonts w:cs="Times New Roman"/>
          <w:color w:val="002060"/>
          <w:szCs w:val="24"/>
        </w:rPr>
        <w:t xml:space="preserve"> don’t belong, or </w:t>
      </w:r>
      <w:r w:rsidR="00C43FE1" w:rsidRPr="00AB532A">
        <w:rPr>
          <w:rFonts w:cs="Times New Roman"/>
          <w:color w:val="002060"/>
          <w:szCs w:val="24"/>
        </w:rPr>
        <w:t>to</w:t>
      </w:r>
      <w:r w:rsidR="00457F6E" w:rsidRPr="00AB532A">
        <w:rPr>
          <w:rFonts w:cs="Times New Roman"/>
          <w:color w:val="002060"/>
          <w:szCs w:val="24"/>
        </w:rPr>
        <w:t xml:space="preserve"> protect Kurtz’s Intended [</w:t>
      </w:r>
      <w:r w:rsidR="00A961D5" w:rsidRPr="00AB532A">
        <w:rPr>
          <w:rFonts w:cs="Times New Roman"/>
          <w:color w:val="002060"/>
          <w:szCs w:val="24"/>
        </w:rPr>
        <w:t>in general</w:t>
      </w:r>
      <w:r w:rsidR="00E672A8" w:rsidRPr="00AB532A">
        <w:rPr>
          <w:rFonts w:cs="Times New Roman"/>
          <w:color w:val="002060"/>
          <w:szCs w:val="24"/>
        </w:rPr>
        <w:t xml:space="preserve">, to protect women from a truth that is </w:t>
      </w:r>
      <w:r w:rsidR="00457F6E" w:rsidRPr="00AB532A">
        <w:rPr>
          <w:rFonts w:cs="Times New Roman"/>
          <w:color w:val="002060"/>
          <w:szCs w:val="24"/>
        </w:rPr>
        <w:t>“too dark” for them (Conrad 77)]</w:t>
      </w:r>
      <w:r w:rsidR="00E672A8" w:rsidRPr="00AB532A">
        <w:rPr>
          <w:rFonts w:cs="Times New Roman"/>
          <w:color w:val="002060"/>
          <w:szCs w:val="24"/>
        </w:rPr>
        <w:t xml:space="preserve">.  </w:t>
      </w:r>
      <w:r w:rsidRPr="00AB532A">
        <w:rPr>
          <w:rFonts w:cs="Times New Roman"/>
          <w:color w:val="002060"/>
          <w:szCs w:val="24"/>
        </w:rPr>
        <w:t>I am going to argue that Conrad uses these binary oppositions</w:t>
      </w:r>
      <w:r w:rsidR="00A961D5" w:rsidRPr="00AB532A">
        <w:rPr>
          <w:rFonts w:cs="Times New Roman"/>
          <w:color w:val="002060"/>
          <w:szCs w:val="24"/>
        </w:rPr>
        <w:t xml:space="preserve"> and the portrayal of the treatment of the women in </w:t>
      </w:r>
      <w:r w:rsidR="00A961D5" w:rsidRPr="00AB532A">
        <w:rPr>
          <w:rFonts w:cs="Times New Roman"/>
          <w:i/>
          <w:color w:val="002060"/>
          <w:szCs w:val="24"/>
        </w:rPr>
        <w:t>Heart of Darkness</w:t>
      </w:r>
      <w:r w:rsidR="00F35038" w:rsidRPr="00AB532A">
        <w:rPr>
          <w:rFonts w:cs="Times New Roman"/>
          <w:color w:val="002060"/>
          <w:szCs w:val="24"/>
        </w:rPr>
        <w:t>,</w:t>
      </w:r>
      <w:r w:rsidRPr="00AB532A">
        <w:rPr>
          <w:rFonts w:cs="Times New Roman"/>
          <w:color w:val="002060"/>
          <w:szCs w:val="24"/>
        </w:rPr>
        <w:t xml:space="preserve"> </w:t>
      </w:r>
      <w:r w:rsidR="0017754F" w:rsidRPr="00AB532A">
        <w:rPr>
          <w:rFonts w:cs="Times New Roman"/>
          <w:color w:val="002060"/>
          <w:szCs w:val="24"/>
        </w:rPr>
        <w:t>especially</w:t>
      </w:r>
      <w:r w:rsidR="00F35038" w:rsidRPr="00AB532A">
        <w:rPr>
          <w:rFonts w:cs="Times New Roman"/>
          <w:color w:val="002060"/>
          <w:szCs w:val="24"/>
        </w:rPr>
        <w:t xml:space="preserve"> Marlow’s lie to Kurtz’s Intended, </w:t>
      </w:r>
      <w:r w:rsidRPr="00AB532A">
        <w:rPr>
          <w:rFonts w:cs="Times New Roman"/>
          <w:color w:val="002060"/>
          <w:szCs w:val="24"/>
        </w:rPr>
        <w:t xml:space="preserve">to </w:t>
      </w:r>
      <w:r w:rsidR="00A961D5" w:rsidRPr="00AB532A">
        <w:rPr>
          <w:rFonts w:cs="Times New Roman"/>
          <w:color w:val="002060"/>
          <w:szCs w:val="24"/>
        </w:rPr>
        <w:t xml:space="preserve">advocate the </w:t>
      </w:r>
      <w:r w:rsidRPr="00AB532A">
        <w:rPr>
          <w:rFonts w:cs="Times New Roman"/>
          <w:color w:val="002060"/>
          <w:szCs w:val="24"/>
        </w:rPr>
        <w:t>protect</w:t>
      </w:r>
      <w:r w:rsidR="00A961D5" w:rsidRPr="00AB532A">
        <w:rPr>
          <w:rFonts w:cs="Times New Roman"/>
          <w:color w:val="002060"/>
          <w:szCs w:val="24"/>
        </w:rPr>
        <w:t>ion</w:t>
      </w:r>
      <w:r w:rsidRPr="00AB532A">
        <w:rPr>
          <w:rFonts w:cs="Times New Roman"/>
          <w:color w:val="002060"/>
          <w:szCs w:val="24"/>
        </w:rPr>
        <w:t xml:space="preserve"> </w:t>
      </w:r>
      <w:r w:rsidR="00A961D5" w:rsidRPr="00AB532A">
        <w:rPr>
          <w:rFonts w:cs="Times New Roman"/>
          <w:color w:val="002060"/>
          <w:szCs w:val="24"/>
        </w:rPr>
        <w:t xml:space="preserve">of </w:t>
      </w:r>
      <w:r w:rsidRPr="00AB532A">
        <w:rPr>
          <w:rFonts w:cs="Times New Roman"/>
          <w:color w:val="002060"/>
          <w:szCs w:val="24"/>
        </w:rPr>
        <w:t>the men’s sphere from being infiltrated by women who “should be out of it”(Conrad 48).</w:t>
      </w:r>
      <w:r w:rsidR="001E4726" w:rsidRPr="00AB532A">
        <w:rPr>
          <w:rFonts w:cs="Times New Roman"/>
          <w:color w:val="002060"/>
          <w:szCs w:val="24"/>
        </w:rPr>
        <w:t xml:space="preserve">  To show this, I will discuss the fact that the women were contained in their territories—unlike the men in the story.  I will also discuss Marlow’s lie to the Intended and compare it to Marlow’s truth-telling to the men.</w:t>
      </w:r>
      <w:r w:rsidR="00C43FE1" w:rsidRPr="00AB532A">
        <w:rPr>
          <w:rFonts w:cs="Times New Roman"/>
          <w:color w:val="002060"/>
          <w:szCs w:val="24"/>
        </w:rPr>
        <w:t xml:space="preserve">  </w:t>
      </w:r>
    </w:p>
    <w:p w:rsidR="003A5582" w:rsidRPr="00AB532A" w:rsidRDefault="00096174" w:rsidP="00DB4DD1">
      <w:pPr>
        <w:spacing w:line="480" w:lineRule="auto"/>
        <w:ind w:firstLine="720"/>
        <w:rPr>
          <w:rFonts w:cs="Times New Roman"/>
          <w:color w:val="002060"/>
          <w:szCs w:val="24"/>
        </w:rPr>
      </w:pPr>
      <w:r w:rsidRPr="00AB532A">
        <w:rPr>
          <w:rFonts w:cs="Times New Roman"/>
          <w:color w:val="002060"/>
          <w:szCs w:val="24"/>
        </w:rPr>
        <w:t xml:space="preserve">One way that Conrad illustrates his desire to exclude women from the male wilderness is by leaving them out of his story.  </w:t>
      </w:r>
      <w:r w:rsidR="00401C84" w:rsidRPr="00AB532A">
        <w:rPr>
          <w:rFonts w:cs="Times New Roman"/>
          <w:color w:val="002060"/>
          <w:szCs w:val="24"/>
        </w:rPr>
        <w:t xml:space="preserve">Even though Conrad claims to have deliberately left women </w:t>
      </w:r>
      <w:r w:rsidR="00401C84" w:rsidRPr="00AB532A">
        <w:rPr>
          <w:rFonts w:cs="Times New Roman"/>
          <w:color w:val="002060"/>
          <w:szCs w:val="24"/>
        </w:rPr>
        <w:lastRenderedPageBreak/>
        <w:t xml:space="preserve">out of his novella, </w:t>
      </w:r>
      <w:r w:rsidR="0017754F" w:rsidRPr="00AB532A">
        <w:rPr>
          <w:rFonts w:cs="Times New Roman"/>
          <w:color w:val="002060"/>
          <w:szCs w:val="24"/>
        </w:rPr>
        <w:t xml:space="preserve">he, perhaps </w:t>
      </w:r>
      <w:r w:rsidR="00A961D5" w:rsidRPr="00AB532A">
        <w:rPr>
          <w:rFonts w:cs="Times New Roman"/>
          <w:color w:val="002060"/>
          <w:szCs w:val="24"/>
        </w:rPr>
        <w:t>unknowingly</w:t>
      </w:r>
      <w:r w:rsidR="0017754F" w:rsidRPr="00AB532A">
        <w:rPr>
          <w:rFonts w:cs="Times New Roman"/>
          <w:color w:val="002060"/>
          <w:szCs w:val="24"/>
        </w:rPr>
        <w:t>,</w:t>
      </w:r>
      <w:r w:rsidR="00AE3CF1" w:rsidRPr="00AB532A">
        <w:rPr>
          <w:rFonts w:cs="Times New Roman"/>
          <w:color w:val="002060"/>
          <w:szCs w:val="24"/>
        </w:rPr>
        <w:t xml:space="preserve"> created a passage that has </w:t>
      </w:r>
      <w:r w:rsidR="00BE37BD" w:rsidRPr="00AB532A">
        <w:rPr>
          <w:rFonts w:cs="Times New Roman"/>
          <w:color w:val="002060"/>
          <w:szCs w:val="24"/>
        </w:rPr>
        <w:t xml:space="preserve">greatly influenced his story and has </w:t>
      </w:r>
      <w:r w:rsidR="00AE3CF1" w:rsidRPr="00AB532A">
        <w:rPr>
          <w:rFonts w:cs="Times New Roman"/>
          <w:color w:val="002060"/>
          <w:szCs w:val="24"/>
        </w:rPr>
        <w:t>led to a considerable amount of debate</w:t>
      </w:r>
      <w:r w:rsidR="00BE37BD" w:rsidRPr="00AB532A">
        <w:rPr>
          <w:rFonts w:cs="Times New Roman"/>
          <w:color w:val="002060"/>
          <w:szCs w:val="24"/>
        </w:rPr>
        <w:t xml:space="preserve"> (McIntire</w:t>
      </w:r>
      <w:r w:rsidR="00457F6E" w:rsidRPr="00AB532A">
        <w:rPr>
          <w:rFonts w:cs="Times New Roman"/>
          <w:color w:val="002060"/>
          <w:szCs w:val="24"/>
        </w:rPr>
        <w:t xml:space="preserve"> 257</w:t>
      </w:r>
      <w:r w:rsidR="00BE37BD" w:rsidRPr="00AB532A">
        <w:rPr>
          <w:rFonts w:cs="Times New Roman"/>
          <w:color w:val="002060"/>
          <w:szCs w:val="24"/>
        </w:rPr>
        <w:t>)</w:t>
      </w:r>
      <w:r w:rsidR="00AE3CF1" w:rsidRPr="00AB532A">
        <w:rPr>
          <w:rFonts w:cs="Times New Roman"/>
          <w:color w:val="002060"/>
          <w:szCs w:val="24"/>
        </w:rPr>
        <w:t xml:space="preserve">.  Marlow directs his attention to Kurtz’s Intended when he </w:t>
      </w:r>
      <w:r w:rsidR="0017754F" w:rsidRPr="00AB532A">
        <w:rPr>
          <w:rFonts w:cs="Times New Roman"/>
          <w:color w:val="002060"/>
          <w:szCs w:val="24"/>
        </w:rPr>
        <w:t>mentions to</w:t>
      </w:r>
      <w:r w:rsidR="00AE3CF1" w:rsidRPr="00AB532A">
        <w:rPr>
          <w:rFonts w:cs="Times New Roman"/>
          <w:color w:val="002060"/>
          <w:szCs w:val="24"/>
        </w:rPr>
        <w:t xml:space="preserve"> his fellow passengers aboard the yacht that “she is out of it—completely.  They—the women I mean—are out of it—should be out of it.  We must help them to stay in that beautiful world of their own lest ours gets worse.  Oh, she had to be out of it.” (Conrad 48)</w:t>
      </w:r>
      <w:r w:rsidR="00BE37BD" w:rsidRPr="00AB532A">
        <w:rPr>
          <w:rFonts w:cs="Times New Roman"/>
          <w:color w:val="002060"/>
          <w:szCs w:val="24"/>
        </w:rPr>
        <w:t>.</w:t>
      </w:r>
      <w:r w:rsidR="003A5582" w:rsidRPr="00AB532A">
        <w:rPr>
          <w:rFonts w:cs="Times New Roman"/>
          <w:color w:val="002060"/>
          <w:szCs w:val="24"/>
        </w:rPr>
        <w:t xml:space="preserve">  In this passage, Marlow clearly states that “women are not simply of a different world, but ought to </w:t>
      </w:r>
      <w:r w:rsidR="00A961D5" w:rsidRPr="00AB532A">
        <w:rPr>
          <w:rFonts w:cs="Times New Roman"/>
          <w:color w:val="002060"/>
          <w:szCs w:val="24"/>
        </w:rPr>
        <w:t xml:space="preserve">be </w:t>
      </w:r>
      <w:r w:rsidR="003A5582" w:rsidRPr="00AB532A">
        <w:rPr>
          <w:rFonts w:cs="Times New Roman"/>
          <w:color w:val="002060"/>
          <w:szCs w:val="24"/>
        </w:rPr>
        <w:t>‘out of’ the story ‘completely’” (McIntire</w:t>
      </w:r>
      <w:r w:rsidR="00457F6E" w:rsidRPr="00AB532A">
        <w:rPr>
          <w:rFonts w:cs="Times New Roman"/>
          <w:color w:val="002060"/>
          <w:szCs w:val="24"/>
        </w:rPr>
        <w:t xml:space="preserve"> </w:t>
      </w:r>
      <w:r w:rsidR="00391A82" w:rsidRPr="00AB532A">
        <w:rPr>
          <w:rFonts w:cs="Times New Roman"/>
          <w:color w:val="002060"/>
          <w:szCs w:val="24"/>
        </w:rPr>
        <w:t>256</w:t>
      </w:r>
      <w:r w:rsidR="003A5582" w:rsidRPr="00AB532A">
        <w:rPr>
          <w:rFonts w:cs="Times New Roman"/>
          <w:color w:val="002060"/>
          <w:szCs w:val="24"/>
        </w:rPr>
        <w:t>).  He also asserts that women should stay in their own world “lest ours</w:t>
      </w:r>
      <w:r w:rsidR="0017754F" w:rsidRPr="00AB532A">
        <w:rPr>
          <w:rFonts w:cs="Times New Roman"/>
          <w:color w:val="002060"/>
          <w:szCs w:val="24"/>
        </w:rPr>
        <w:t xml:space="preserve"> [the men’s]</w:t>
      </w:r>
      <w:r w:rsidR="003A5582" w:rsidRPr="00AB532A">
        <w:rPr>
          <w:rFonts w:cs="Times New Roman"/>
          <w:color w:val="002060"/>
          <w:szCs w:val="24"/>
        </w:rPr>
        <w:t xml:space="preserve"> gets worse” (Conrad 48).  This supports my argument that Marlow is defending his own territory rather than trying to be c</w:t>
      </w:r>
      <w:r w:rsidR="00A961D5" w:rsidRPr="00AB532A">
        <w:rPr>
          <w:rFonts w:cs="Times New Roman"/>
          <w:color w:val="002060"/>
          <w:szCs w:val="24"/>
        </w:rPr>
        <w:t xml:space="preserve">hivalrous and spare the women of the harsh realities that lie in the heart of Africa.  </w:t>
      </w:r>
    </w:p>
    <w:p w:rsidR="00D5239C" w:rsidRPr="00AB532A" w:rsidRDefault="0095126E" w:rsidP="00DB4DD1">
      <w:pPr>
        <w:spacing w:line="480" w:lineRule="auto"/>
        <w:ind w:firstLine="720"/>
        <w:rPr>
          <w:rFonts w:cs="Times New Roman"/>
          <w:color w:val="002060"/>
          <w:szCs w:val="24"/>
        </w:rPr>
      </w:pPr>
      <w:r w:rsidRPr="00AB532A">
        <w:rPr>
          <w:rFonts w:cs="Times New Roman"/>
          <w:color w:val="002060"/>
          <w:szCs w:val="24"/>
        </w:rPr>
        <w:t>Conrad</w:t>
      </w:r>
      <w:r w:rsidR="0017754F" w:rsidRPr="00AB532A">
        <w:rPr>
          <w:rFonts w:cs="Times New Roman"/>
          <w:color w:val="002060"/>
          <w:szCs w:val="24"/>
        </w:rPr>
        <w:t xml:space="preserve"> also</w:t>
      </w:r>
      <w:r w:rsidRPr="00AB532A">
        <w:rPr>
          <w:rFonts w:cs="Times New Roman"/>
          <w:color w:val="002060"/>
          <w:szCs w:val="24"/>
        </w:rPr>
        <w:t xml:space="preserve"> pays careful attention to the placement of the women in his </w:t>
      </w:r>
      <w:r w:rsidR="0017754F" w:rsidRPr="00AB532A">
        <w:rPr>
          <w:rFonts w:cs="Times New Roman"/>
          <w:i/>
          <w:color w:val="002060"/>
          <w:szCs w:val="24"/>
        </w:rPr>
        <w:t>Heart of Darkness</w:t>
      </w:r>
      <w:r w:rsidRPr="00AB532A">
        <w:rPr>
          <w:rFonts w:cs="Times New Roman"/>
          <w:color w:val="002060"/>
          <w:szCs w:val="24"/>
        </w:rPr>
        <w:t xml:space="preserve">.  By using this technique, he </w:t>
      </w:r>
      <w:r w:rsidR="0017754F" w:rsidRPr="00AB532A">
        <w:rPr>
          <w:rFonts w:cs="Times New Roman"/>
          <w:color w:val="002060"/>
          <w:szCs w:val="24"/>
        </w:rPr>
        <w:t xml:space="preserve">secures the women’s position: </w:t>
      </w:r>
      <w:r w:rsidRPr="00AB532A">
        <w:rPr>
          <w:rFonts w:cs="Times New Roman"/>
          <w:color w:val="002060"/>
          <w:szCs w:val="24"/>
        </w:rPr>
        <w:t xml:space="preserve"> </w:t>
      </w:r>
      <w:r w:rsidR="0017754F" w:rsidRPr="00AB532A">
        <w:rPr>
          <w:rFonts w:cs="Times New Roman"/>
          <w:color w:val="002060"/>
          <w:szCs w:val="24"/>
        </w:rPr>
        <w:t>that they</w:t>
      </w:r>
      <w:r w:rsidRPr="00AB532A">
        <w:rPr>
          <w:rFonts w:cs="Times New Roman"/>
          <w:color w:val="002060"/>
          <w:szCs w:val="24"/>
        </w:rPr>
        <w:t xml:space="preserve"> are bound to their territories.  The women are unable to wander in and</w:t>
      </w:r>
      <w:r w:rsidR="0017754F" w:rsidRPr="00AB532A">
        <w:rPr>
          <w:rFonts w:cs="Times New Roman"/>
          <w:color w:val="002060"/>
          <w:szCs w:val="24"/>
        </w:rPr>
        <w:t xml:space="preserve"> out of their territories and</w:t>
      </w:r>
      <w:r w:rsidR="00873674" w:rsidRPr="00AB532A">
        <w:rPr>
          <w:rFonts w:cs="Times New Roman"/>
          <w:color w:val="002060"/>
          <w:szCs w:val="24"/>
        </w:rPr>
        <w:t xml:space="preserve"> cultures (McIntire</w:t>
      </w:r>
      <w:r w:rsidR="00391A82" w:rsidRPr="00AB532A">
        <w:rPr>
          <w:rFonts w:cs="Times New Roman"/>
          <w:color w:val="002060"/>
          <w:szCs w:val="24"/>
        </w:rPr>
        <w:t xml:space="preserve"> 271</w:t>
      </w:r>
      <w:r w:rsidR="00873674" w:rsidRPr="00AB532A">
        <w:rPr>
          <w:rFonts w:cs="Times New Roman"/>
          <w:color w:val="002060"/>
          <w:szCs w:val="24"/>
        </w:rPr>
        <w:t>).  For example, the Intended is bound to her “lofty drawing-room” and Kurtz’ mistress “struts along the river bank as she wails at Kurtz’s departure” (McIntire</w:t>
      </w:r>
      <w:r w:rsidR="00391A82" w:rsidRPr="00AB532A">
        <w:rPr>
          <w:rFonts w:cs="Times New Roman"/>
          <w:color w:val="002060"/>
          <w:szCs w:val="24"/>
        </w:rPr>
        <w:t xml:space="preserve"> </w:t>
      </w:r>
      <w:r w:rsidR="007A0544" w:rsidRPr="00AB532A">
        <w:rPr>
          <w:rFonts w:cs="Times New Roman"/>
          <w:color w:val="002060"/>
          <w:szCs w:val="24"/>
        </w:rPr>
        <w:t>259</w:t>
      </w:r>
      <w:r w:rsidR="00873674" w:rsidRPr="00AB532A">
        <w:rPr>
          <w:rFonts w:cs="Times New Roman"/>
          <w:color w:val="002060"/>
          <w:szCs w:val="24"/>
        </w:rPr>
        <w:t xml:space="preserve">).  Both women are confined to </w:t>
      </w:r>
      <w:r w:rsidR="0017754F" w:rsidRPr="00AB532A">
        <w:rPr>
          <w:rFonts w:cs="Times New Roman"/>
          <w:color w:val="002060"/>
          <w:szCs w:val="24"/>
        </w:rPr>
        <w:t>the</w:t>
      </w:r>
      <w:r w:rsidR="00873674" w:rsidRPr="00AB532A">
        <w:rPr>
          <w:rFonts w:cs="Times New Roman"/>
          <w:color w:val="002060"/>
          <w:szCs w:val="24"/>
        </w:rPr>
        <w:t xml:space="preserve"> cultures</w:t>
      </w:r>
      <w:r w:rsidR="0017754F" w:rsidRPr="00AB532A">
        <w:rPr>
          <w:rFonts w:cs="Times New Roman"/>
          <w:color w:val="002060"/>
          <w:szCs w:val="24"/>
        </w:rPr>
        <w:t xml:space="preserve"> in which they are born</w:t>
      </w:r>
      <w:r w:rsidR="00873674" w:rsidRPr="00AB532A">
        <w:rPr>
          <w:rFonts w:cs="Times New Roman"/>
          <w:color w:val="002060"/>
          <w:szCs w:val="24"/>
        </w:rPr>
        <w:t xml:space="preserve">.  </w:t>
      </w:r>
      <w:r w:rsidR="001303B6" w:rsidRPr="00AB532A">
        <w:rPr>
          <w:rFonts w:cs="Times New Roman"/>
          <w:color w:val="002060"/>
          <w:szCs w:val="24"/>
        </w:rPr>
        <w:t xml:space="preserve">Conrad uses the Intended’s naivety to show that she would not survive in the wilderness, and she </w:t>
      </w:r>
      <w:r w:rsidR="0017754F" w:rsidRPr="00AB532A">
        <w:rPr>
          <w:rFonts w:cs="Times New Roman"/>
          <w:color w:val="002060"/>
          <w:szCs w:val="24"/>
        </w:rPr>
        <w:t>simply</w:t>
      </w:r>
      <w:r w:rsidR="001303B6" w:rsidRPr="00AB532A">
        <w:rPr>
          <w:rFonts w:cs="Times New Roman"/>
          <w:color w:val="002060"/>
          <w:szCs w:val="24"/>
        </w:rPr>
        <w:t xml:space="preserve"> belongs in Europe.  The Intended’s </w:t>
      </w:r>
      <w:r w:rsidR="00D5239C" w:rsidRPr="00AB532A">
        <w:rPr>
          <w:rFonts w:cs="Times New Roman"/>
          <w:color w:val="002060"/>
          <w:szCs w:val="24"/>
        </w:rPr>
        <w:t xml:space="preserve">thoughts and “ideas are… those of Europe as a whole” (Dilworth 511).  She shares </w:t>
      </w:r>
      <w:r w:rsidR="0017754F" w:rsidRPr="00AB532A">
        <w:rPr>
          <w:rFonts w:cs="Times New Roman"/>
          <w:color w:val="002060"/>
          <w:szCs w:val="24"/>
        </w:rPr>
        <w:t>her</w:t>
      </w:r>
      <w:r w:rsidR="00D5239C" w:rsidRPr="00AB532A">
        <w:rPr>
          <w:rFonts w:cs="Times New Roman"/>
          <w:color w:val="002060"/>
          <w:szCs w:val="24"/>
        </w:rPr>
        <w:t xml:space="preserve"> i</w:t>
      </w:r>
      <w:r w:rsidR="0017754F" w:rsidRPr="00AB532A">
        <w:rPr>
          <w:rFonts w:cs="Times New Roman"/>
          <w:color w:val="002060"/>
          <w:szCs w:val="24"/>
        </w:rPr>
        <w:t xml:space="preserve">gnorance with the inhabitants of Europe </w:t>
      </w:r>
      <w:r w:rsidR="00D5239C" w:rsidRPr="00AB532A">
        <w:rPr>
          <w:rFonts w:cs="Times New Roman"/>
          <w:color w:val="002060"/>
          <w:szCs w:val="24"/>
        </w:rPr>
        <w:t>that Marlow so hates upon his return to Belgium</w:t>
      </w:r>
      <w:r w:rsidR="0017754F" w:rsidRPr="00AB532A">
        <w:rPr>
          <w:rFonts w:cs="Times New Roman"/>
          <w:color w:val="002060"/>
          <w:szCs w:val="24"/>
        </w:rPr>
        <w:t xml:space="preserve">.  </w:t>
      </w:r>
      <w:r w:rsidR="00D5239C" w:rsidRPr="00AB532A">
        <w:rPr>
          <w:rFonts w:cs="Times New Roman"/>
          <w:color w:val="002060"/>
          <w:szCs w:val="24"/>
        </w:rPr>
        <w:t xml:space="preserve">He calls them “intruders”, claiming that “they could not possibly know the things I knew” (Conrad 70-1).  Because of </w:t>
      </w:r>
      <w:r w:rsidR="00BD0970" w:rsidRPr="00AB532A">
        <w:rPr>
          <w:rFonts w:cs="Times New Roman"/>
          <w:color w:val="002060"/>
          <w:szCs w:val="24"/>
        </w:rPr>
        <w:t>her</w:t>
      </w:r>
      <w:r w:rsidR="00096174" w:rsidRPr="00AB532A">
        <w:rPr>
          <w:rFonts w:cs="Times New Roman"/>
          <w:color w:val="002060"/>
          <w:szCs w:val="24"/>
        </w:rPr>
        <w:t xml:space="preserve"> “irritating pretence,”</w:t>
      </w:r>
      <w:r w:rsidR="00D5239C" w:rsidRPr="00AB532A">
        <w:rPr>
          <w:rFonts w:cs="Times New Roman"/>
          <w:color w:val="002060"/>
          <w:szCs w:val="24"/>
        </w:rPr>
        <w:t xml:space="preserve"> Kurtz’s Intended could not possibl</w:t>
      </w:r>
      <w:r w:rsidR="00BD0970" w:rsidRPr="00AB532A">
        <w:rPr>
          <w:rFonts w:cs="Times New Roman"/>
          <w:color w:val="002060"/>
          <w:szCs w:val="24"/>
        </w:rPr>
        <w:t>y</w:t>
      </w:r>
      <w:r w:rsidR="00D5239C" w:rsidRPr="00AB532A">
        <w:rPr>
          <w:rFonts w:cs="Times New Roman"/>
          <w:color w:val="002060"/>
          <w:szCs w:val="24"/>
        </w:rPr>
        <w:t xml:space="preserve"> belong in the </w:t>
      </w:r>
      <w:r w:rsidR="00BD0970" w:rsidRPr="00AB532A">
        <w:rPr>
          <w:rFonts w:cs="Times New Roman"/>
          <w:color w:val="002060"/>
          <w:szCs w:val="24"/>
        </w:rPr>
        <w:t xml:space="preserve">men’s sphere.  </w:t>
      </w:r>
    </w:p>
    <w:p w:rsidR="00F55699" w:rsidRPr="00AB532A" w:rsidRDefault="00D5239C" w:rsidP="00DB4DD1">
      <w:pPr>
        <w:spacing w:line="480" w:lineRule="auto"/>
        <w:ind w:firstLine="720"/>
        <w:rPr>
          <w:rFonts w:cs="Times New Roman"/>
          <w:color w:val="002060"/>
          <w:szCs w:val="24"/>
        </w:rPr>
      </w:pPr>
      <w:r w:rsidRPr="00AB532A">
        <w:rPr>
          <w:rFonts w:cs="Times New Roman"/>
          <w:color w:val="002060"/>
          <w:szCs w:val="24"/>
        </w:rPr>
        <w:lastRenderedPageBreak/>
        <w:t xml:space="preserve">Similarly, Kurtz’s mistress only belongs in the heart of Africa, the Congo.  </w:t>
      </w:r>
      <w:r w:rsidR="00873674" w:rsidRPr="00AB532A">
        <w:rPr>
          <w:rFonts w:cs="Times New Roman"/>
          <w:color w:val="002060"/>
          <w:szCs w:val="24"/>
        </w:rPr>
        <w:t>Conrad uses Marlow’s description of the African woman to link her to her ter</w:t>
      </w:r>
      <w:r w:rsidR="001303B6" w:rsidRPr="00AB532A">
        <w:rPr>
          <w:rFonts w:cs="Times New Roman"/>
          <w:color w:val="002060"/>
          <w:szCs w:val="24"/>
        </w:rPr>
        <w:t>ritory by personifying the wilderness</w:t>
      </w:r>
      <w:r w:rsidR="00873674" w:rsidRPr="00AB532A">
        <w:rPr>
          <w:rFonts w:cs="Times New Roman"/>
          <w:color w:val="002060"/>
          <w:szCs w:val="24"/>
        </w:rPr>
        <w:t xml:space="preserve"> </w:t>
      </w:r>
      <w:r w:rsidR="001303B6" w:rsidRPr="00AB532A">
        <w:rPr>
          <w:rFonts w:cs="Times New Roman"/>
          <w:color w:val="002060"/>
          <w:szCs w:val="24"/>
        </w:rPr>
        <w:t>in her image (McIntire</w:t>
      </w:r>
      <w:r w:rsidR="007A0544" w:rsidRPr="00AB532A">
        <w:rPr>
          <w:rFonts w:cs="Times New Roman"/>
          <w:color w:val="002060"/>
          <w:szCs w:val="24"/>
        </w:rPr>
        <w:t xml:space="preserve"> 260</w:t>
      </w:r>
      <w:r w:rsidR="001303B6" w:rsidRPr="00AB532A">
        <w:rPr>
          <w:rFonts w:cs="Times New Roman"/>
          <w:color w:val="002060"/>
          <w:szCs w:val="24"/>
        </w:rPr>
        <w:t>)</w:t>
      </w:r>
      <w:r w:rsidR="00873674" w:rsidRPr="00AB532A">
        <w:rPr>
          <w:rFonts w:cs="Times New Roman"/>
          <w:color w:val="002060"/>
          <w:szCs w:val="24"/>
        </w:rPr>
        <w:t>.  The wilderness looks at her as if “looking at the image of its own tenebrous and passionate soul”</w:t>
      </w:r>
      <w:r w:rsidR="001303B6" w:rsidRPr="00AB532A">
        <w:rPr>
          <w:rFonts w:cs="Times New Roman"/>
          <w:color w:val="002060"/>
          <w:szCs w:val="24"/>
        </w:rPr>
        <w:t xml:space="preserve"> (Conrad 60).</w:t>
      </w:r>
      <w:r w:rsidRPr="00AB532A">
        <w:rPr>
          <w:rFonts w:cs="Times New Roman"/>
          <w:color w:val="002060"/>
          <w:szCs w:val="24"/>
        </w:rPr>
        <w:t xml:space="preserve">  The African woman is ‘a wild and gorgeous apparition of a woman…. Treading the ear</w:t>
      </w:r>
      <w:r w:rsidR="00BD0970" w:rsidRPr="00AB532A">
        <w:rPr>
          <w:rFonts w:cs="Times New Roman"/>
          <w:color w:val="002060"/>
          <w:szCs w:val="24"/>
        </w:rPr>
        <w:t>th</w:t>
      </w:r>
      <w:r w:rsidRPr="00AB532A">
        <w:rPr>
          <w:rFonts w:cs="Times New Roman"/>
          <w:color w:val="002060"/>
          <w:szCs w:val="24"/>
        </w:rPr>
        <w:t xml:space="preserve"> proudly with a… flash of barbarous ornaments…. savage and superb, wild-eyed and magnificent… ominous and stately”</w:t>
      </w:r>
      <w:r w:rsidR="00F55699" w:rsidRPr="00AB532A">
        <w:rPr>
          <w:rFonts w:cs="Times New Roman"/>
          <w:color w:val="002060"/>
          <w:szCs w:val="24"/>
        </w:rPr>
        <w:t xml:space="preserve"> (Conrad 60).  She has several characteristics that can be attributed to the wilderness.</w:t>
      </w:r>
      <w:r w:rsidR="00BD0970" w:rsidRPr="00AB532A">
        <w:rPr>
          <w:rFonts w:cs="Times New Roman"/>
          <w:color w:val="002060"/>
          <w:szCs w:val="24"/>
        </w:rPr>
        <w:t xml:space="preserve">  She is as “barbarous” as the other natives, and as the land itself.</w:t>
      </w:r>
      <w:r w:rsidR="00096174" w:rsidRPr="00AB532A">
        <w:rPr>
          <w:rFonts w:cs="Times New Roman"/>
          <w:color w:val="002060"/>
          <w:szCs w:val="24"/>
        </w:rPr>
        <w:t xml:space="preserve">  Therefore, by linking these attributes of the land to the African woman, Conrad seems to create the impression that she is part of the territory, forbidding her to wander into any other culture but her own.</w:t>
      </w:r>
      <w:r w:rsidR="00F55699" w:rsidRPr="00AB532A">
        <w:rPr>
          <w:rFonts w:cs="Times New Roman"/>
          <w:color w:val="002060"/>
          <w:szCs w:val="24"/>
        </w:rPr>
        <w:t xml:space="preserve">   </w:t>
      </w:r>
    </w:p>
    <w:p w:rsidR="001B4B04" w:rsidRPr="00AB532A" w:rsidRDefault="00873674" w:rsidP="00DB4DD1">
      <w:pPr>
        <w:spacing w:line="480" w:lineRule="auto"/>
        <w:ind w:firstLine="720"/>
        <w:rPr>
          <w:rFonts w:cs="Times New Roman"/>
          <w:color w:val="002060"/>
          <w:szCs w:val="24"/>
        </w:rPr>
      </w:pPr>
      <w:r w:rsidRPr="00AB532A">
        <w:rPr>
          <w:rFonts w:cs="Times New Roman"/>
          <w:color w:val="002060"/>
          <w:szCs w:val="24"/>
        </w:rPr>
        <w:t xml:space="preserve">This differs from </w:t>
      </w:r>
      <w:r w:rsidR="00F55699" w:rsidRPr="00AB532A">
        <w:rPr>
          <w:rFonts w:cs="Times New Roman"/>
          <w:color w:val="002060"/>
          <w:szCs w:val="24"/>
        </w:rPr>
        <w:t xml:space="preserve">those </w:t>
      </w:r>
      <w:r w:rsidR="00BD0970" w:rsidRPr="00AB532A">
        <w:rPr>
          <w:rFonts w:cs="Times New Roman"/>
          <w:color w:val="002060"/>
          <w:szCs w:val="24"/>
        </w:rPr>
        <w:t>who belong</w:t>
      </w:r>
      <w:r w:rsidR="00F55699" w:rsidRPr="00AB532A">
        <w:rPr>
          <w:rFonts w:cs="Times New Roman"/>
          <w:color w:val="002060"/>
          <w:szCs w:val="24"/>
        </w:rPr>
        <w:t xml:space="preserve"> in the men’s sphere in that the men are not confined to their territories.  </w:t>
      </w:r>
      <w:r w:rsidRPr="00AB532A">
        <w:rPr>
          <w:rFonts w:cs="Times New Roman"/>
          <w:color w:val="002060"/>
          <w:szCs w:val="24"/>
        </w:rPr>
        <w:t xml:space="preserve">They are clearly able to wander from their own European </w:t>
      </w:r>
      <w:r w:rsidR="00F55699" w:rsidRPr="00AB532A">
        <w:rPr>
          <w:rFonts w:cs="Times New Roman"/>
          <w:color w:val="002060"/>
          <w:szCs w:val="24"/>
        </w:rPr>
        <w:t>cultures, in</w:t>
      </w:r>
      <w:r w:rsidRPr="00AB532A">
        <w:rPr>
          <w:rFonts w:cs="Times New Roman"/>
          <w:color w:val="002060"/>
          <w:szCs w:val="24"/>
        </w:rPr>
        <w:t>to the African</w:t>
      </w:r>
      <w:r w:rsidR="00F55699" w:rsidRPr="00AB532A">
        <w:rPr>
          <w:rFonts w:cs="Times New Roman"/>
          <w:color w:val="002060"/>
          <w:szCs w:val="24"/>
        </w:rPr>
        <w:t xml:space="preserve"> wilderness.</w:t>
      </w:r>
      <w:r w:rsidR="00BD0970" w:rsidRPr="00AB532A">
        <w:rPr>
          <w:rFonts w:cs="Times New Roman"/>
          <w:color w:val="002060"/>
          <w:szCs w:val="24"/>
        </w:rPr>
        <w:t xml:space="preserve">  </w:t>
      </w:r>
      <w:r w:rsidR="001B4B04" w:rsidRPr="00AB532A">
        <w:rPr>
          <w:rFonts w:cs="Times New Roman"/>
          <w:color w:val="002060"/>
          <w:szCs w:val="24"/>
        </w:rPr>
        <w:t>They are capable of traveling and having adventure in their lives.  Even though the women aren’t allowed to travel, they</w:t>
      </w:r>
      <w:r w:rsidR="00BD0970" w:rsidRPr="00AB532A">
        <w:rPr>
          <w:rFonts w:cs="Times New Roman"/>
          <w:color w:val="002060"/>
          <w:szCs w:val="24"/>
        </w:rPr>
        <w:t xml:space="preserve"> are “crucial for sending off the men to their travels” (McIntire</w:t>
      </w:r>
      <w:r w:rsidR="00391A82" w:rsidRPr="00AB532A">
        <w:rPr>
          <w:rFonts w:cs="Times New Roman"/>
          <w:color w:val="002060"/>
          <w:szCs w:val="24"/>
        </w:rPr>
        <w:t xml:space="preserve"> 271</w:t>
      </w:r>
      <w:r w:rsidR="00BD0970" w:rsidRPr="00AB532A">
        <w:rPr>
          <w:rFonts w:cs="Times New Roman"/>
          <w:color w:val="002060"/>
          <w:szCs w:val="24"/>
        </w:rPr>
        <w:t xml:space="preserve">).  Marlow’s aunt, Kurtz’s Intended, </w:t>
      </w:r>
      <w:r w:rsidR="009B57DE" w:rsidRPr="00AB532A">
        <w:rPr>
          <w:rFonts w:cs="Times New Roman"/>
          <w:color w:val="002060"/>
          <w:szCs w:val="24"/>
        </w:rPr>
        <w:t>both</w:t>
      </w:r>
      <w:r w:rsidR="00BD0970" w:rsidRPr="00AB532A">
        <w:rPr>
          <w:rFonts w:cs="Times New Roman"/>
          <w:color w:val="002060"/>
          <w:szCs w:val="24"/>
        </w:rPr>
        <w:t xml:space="preserve"> </w:t>
      </w:r>
      <w:r w:rsidR="001B4B04" w:rsidRPr="00AB532A">
        <w:rPr>
          <w:rFonts w:cs="Times New Roman"/>
          <w:color w:val="002060"/>
          <w:szCs w:val="24"/>
        </w:rPr>
        <w:t>remain,</w:t>
      </w:r>
      <w:r w:rsidR="00BD0970" w:rsidRPr="00AB532A">
        <w:rPr>
          <w:rFonts w:cs="Times New Roman"/>
          <w:color w:val="002060"/>
          <w:szCs w:val="24"/>
        </w:rPr>
        <w:t xml:space="preserve"> </w:t>
      </w:r>
      <w:r w:rsidR="001B4B04" w:rsidRPr="00AB532A">
        <w:rPr>
          <w:rFonts w:cs="Times New Roman"/>
          <w:color w:val="002060"/>
          <w:szCs w:val="24"/>
        </w:rPr>
        <w:t>placed aside as the men embark</w:t>
      </w:r>
      <w:r w:rsidR="00BD0970" w:rsidRPr="00AB532A">
        <w:rPr>
          <w:rFonts w:cs="Times New Roman"/>
          <w:color w:val="002060"/>
          <w:szCs w:val="24"/>
        </w:rPr>
        <w:t xml:space="preserve"> upon their journeys.  In the case of the Intended and t</w:t>
      </w:r>
      <w:r w:rsidR="001B4B04" w:rsidRPr="00AB532A">
        <w:rPr>
          <w:rFonts w:cs="Times New Roman"/>
          <w:color w:val="002060"/>
          <w:szCs w:val="24"/>
        </w:rPr>
        <w:t>he aunt, the women not only send</w:t>
      </w:r>
      <w:r w:rsidR="00BD0970" w:rsidRPr="00AB532A">
        <w:rPr>
          <w:rFonts w:cs="Times New Roman"/>
          <w:color w:val="002060"/>
          <w:szCs w:val="24"/>
        </w:rPr>
        <w:t xml:space="preserve"> their men off into the wilderness, but </w:t>
      </w:r>
      <w:r w:rsidR="001B4B04" w:rsidRPr="00AB532A">
        <w:rPr>
          <w:rFonts w:cs="Times New Roman"/>
          <w:color w:val="002060"/>
          <w:szCs w:val="24"/>
        </w:rPr>
        <w:t>also wait</w:t>
      </w:r>
      <w:r w:rsidR="00BD0970" w:rsidRPr="00AB532A">
        <w:rPr>
          <w:rFonts w:cs="Times New Roman"/>
          <w:color w:val="002060"/>
          <w:szCs w:val="24"/>
        </w:rPr>
        <w:t xml:space="preserve"> patiently for them to arrive back home.</w:t>
      </w:r>
    </w:p>
    <w:p w:rsidR="00BB272E" w:rsidRPr="00AB532A" w:rsidRDefault="009B57DE" w:rsidP="00DB4DD1">
      <w:pPr>
        <w:spacing w:line="480" w:lineRule="auto"/>
        <w:ind w:firstLine="720"/>
        <w:rPr>
          <w:rFonts w:cs="Times New Roman"/>
          <w:color w:val="002060"/>
          <w:szCs w:val="24"/>
        </w:rPr>
      </w:pPr>
      <w:r w:rsidRPr="00AB532A">
        <w:rPr>
          <w:rFonts w:cs="Times New Roman"/>
          <w:color w:val="002060"/>
          <w:szCs w:val="24"/>
        </w:rPr>
        <w:t>The Intended and the African woma</w:t>
      </w:r>
      <w:r w:rsidR="00BB272E" w:rsidRPr="00AB532A">
        <w:rPr>
          <w:rFonts w:cs="Times New Roman"/>
          <w:color w:val="002060"/>
          <w:szCs w:val="24"/>
        </w:rPr>
        <w:t>n</w:t>
      </w:r>
      <w:r w:rsidRPr="00AB532A">
        <w:rPr>
          <w:rFonts w:cs="Times New Roman"/>
          <w:color w:val="002060"/>
          <w:szCs w:val="24"/>
        </w:rPr>
        <w:t xml:space="preserve"> aren’t the only women in </w:t>
      </w:r>
      <w:r w:rsidRPr="00AB532A">
        <w:rPr>
          <w:rFonts w:cs="Times New Roman"/>
          <w:i/>
          <w:color w:val="002060"/>
          <w:szCs w:val="24"/>
        </w:rPr>
        <w:t xml:space="preserve">Heart of </w:t>
      </w:r>
      <w:r w:rsidRPr="00531F2C">
        <w:rPr>
          <w:rFonts w:cs="Times New Roman"/>
          <w:i/>
          <w:color w:val="002060"/>
          <w:szCs w:val="24"/>
        </w:rPr>
        <w:t xml:space="preserve">Darkness </w:t>
      </w:r>
      <w:r w:rsidRPr="00AB532A">
        <w:rPr>
          <w:rFonts w:cs="Times New Roman"/>
          <w:color w:val="002060"/>
          <w:szCs w:val="24"/>
        </w:rPr>
        <w:t>who are confined to their territories.  Marlow’s aunt is confined to her parlor and the two women knitting black wool are confined to the office.  None of the women in the novella, including the Intended and the African woman, are</w:t>
      </w:r>
      <w:r w:rsidR="001B4B04" w:rsidRPr="00AB532A">
        <w:rPr>
          <w:rFonts w:cs="Times New Roman"/>
          <w:color w:val="002060"/>
          <w:szCs w:val="24"/>
        </w:rPr>
        <w:t xml:space="preserve"> knowledgeable about the other territories either.  They are “incapable of navigating between types of knowledge” just as they are also incapable “of leaving the territory that defines them” (McIntire</w:t>
      </w:r>
      <w:r w:rsidR="00391A82" w:rsidRPr="00AB532A">
        <w:rPr>
          <w:rFonts w:cs="Times New Roman"/>
          <w:color w:val="002060"/>
          <w:szCs w:val="24"/>
        </w:rPr>
        <w:t xml:space="preserve"> 263</w:t>
      </w:r>
      <w:r w:rsidR="001B4B04" w:rsidRPr="00AB532A">
        <w:rPr>
          <w:rFonts w:cs="Times New Roman"/>
          <w:color w:val="002060"/>
          <w:szCs w:val="24"/>
        </w:rPr>
        <w:t>).</w:t>
      </w:r>
      <w:r w:rsidRPr="00AB532A">
        <w:rPr>
          <w:rFonts w:cs="Times New Roman"/>
          <w:color w:val="002060"/>
          <w:szCs w:val="24"/>
        </w:rPr>
        <w:t xml:space="preserve">  I have already</w:t>
      </w:r>
      <w:r w:rsidR="00BB272E" w:rsidRPr="00AB532A">
        <w:rPr>
          <w:rFonts w:cs="Times New Roman"/>
          <w:color w:val="002060"/>
          <w:szCs w:val="24"/>
        </w:rPr>
        <w:t xml:space="preserve"> discussed</w:t>
      </w:r>
      <w:r w:rsidRPr="00AB532A">
        <w:rPr>
          <w:rFonts w:cs="Times New Roman"/>
          <w:color w:val="002060"/>
          <w:szCs w:val="24"/>
        </w:rPr>
        <w:t xml:space="preserve"> the Intended’s </w:t>
      </w:r>
      <w:r w:rsidRPr="00AB532A">
        <w:rPr>
          <w:rFonts w:cs="Times New Roman"/>
          <w:color w:val="002060"/>
          <w:szCs w:val="24"/>
        </w:rPr>
        <w:lastRenderedPageBreak/>
        <w:t>European ignorance.  Marlow’</w:t>
      </w:r>
      <w:r w:rsidR="00BB272E" w:rsidRPr="00AB532A">
        <w:rPr>
          <w:rFonts w:cs="Times New Roman"/>
          <w:color w:val="002060"/>
          <w:szCs w:val="24"/>
        </w:rPr>
        <w:t xml:space="preserve">s aunt, too, </w:t>
      </w:r>
      <w:r w:rsidRPr="00AB532A">
        <w:rPr>
          <w:rFonts w:cs="Times New Roman"/>
          <w:color w:val="002060"/>
          <w:szCs w:val="24"/>
        </w:rPr>
        <w:t>“functions for Marlow as a metonym for all women who are ignorant of the ‘truth’” (McIntire</w:t>
      </w:r>
      <w:r w:rsidR="00F25C7E" w:rsidRPr="00AB532A">
        <w:rPr>
          <w:rFonts w:cs="Times New Roman"/>
          <w:color w:val="002060"/>
          <w:szCs w:val="24"/>
        </w:rPr>
        <w:t xml:space="preserve"> 263</w:t>
      </w:r>
      <w:r w:rsidRPr="00AB532A">
        <w:rPr>
          <w:rFonts w:cs="Times New Roman"/>
          <w:color w:val="002060"/>
          <w:szCs w:val="24"/>
        </w:rPr>
        <w:t>).</w:t>
      </w:r>
      <w:r w:rsidR="00BB272E" w:rsidRPr="00AB532A">
        <w:rPr>
          <w:rFonts w:cs="Times New Roman"/>
          <w:color w:val="002060"/>
          <w:szCs w:val="24"/>
        </w:rPr>
        <w:t xml:space="preserve">  The two women knitting black are remembered by Marlow as “guarding the door of Darkness” (Conrad 11).  They are never involved in any kind of travel and therefore have no ideas about any other territory other than the one in which they work.  They are simply used as symbols for the fate of Marlow’s journey.  The African woman, although she is thought to hold a position of power, has no real freedom of power and is confined to her territory, the Congo River.  </w:t>
      </w:r>
    </w:p>
    <w:p w:rsidR="004D5CDD" w:rsidRPr="00AB532A" w:rsidRDefault="00BB272E" w:rsidP="00DB4DD1">
      <w:pPr>
        <w:spacing w:line="480" w:lineRule="auto"/>
        <w:ind w:firstLine="720"/>
        <w:rPr>
          <w:color w:val="002060"/>
          <w:szCs w:val="24"/>
        </w:rPr>
      </w:pPr>
      <w:r w:rsidRPr="00AB532A">
        <w:rPr>
          <w:rFonts w:cs="Times New Roman"/>
          <w:color w:val="002060"/>
          <w:szCs w:val="24"/>
        </w:rPr>
        <w:t xml:space="preserve">Men, however, </w:t>
      </w:r>
      <w:r w:rsidR="004D69FB" w:rsidRPr="00AB532A">
        <w:rPr>
          <w:rFonts w:cs="Times New Roman"/>
          <w:color w:val="002060"/>
          <w:szCs w:val="24"/>
        </w:rPr>
        <w:t>seen to be</w:t>
      </w:r>
      <w:r w:rsidRPr="00AB532A">
        <w:rPr>
          <w:rFonts w:cs="Times New Roman"/>
          <w:color w:val="002060"/>
          <w:szCs w:val="24"/>
        </w:rPr>
        <w:t xml:space="preserve"> all-knowing.  They are very conscious and understanding of what is going on in neighboring cultures.</w:t>
      </w:r>
      <w:r w:rsidR="004D5CDD" w:rsidRPr="00AB532A">
        <w:rPr>
          <w:rFonts w:cs="Times New Roman"/>
          <w:color w:val="002060"/>
          <w:szCs w:val="24"/>
        </w:rPr>
        <w:t xml:space="preserve">  </w:t>
      </w:r>
      <w:r w:rsidR="004D69FB" w:rsidRPr="00AB532A">
        <w:rPr>
          <w:color w:val="002060"/>
          <w:szCs w:val="24"/>
        </w:rPr>
        <w:t xml:space="preserve">Conrad uses Marlow’s lie to Kurtz’s </w:t>
      </w:r>
      <w:proofErr w:type="gramStart"/>
      <w:r w:rsidR="004D69FB" w:rsidRPr="00AB532A">
        <w:rPr>
          <w:color w:val="002060"/>
          <w:szCs w:val="24"/>
        </w:rPr>
        <w:t>Intended</w:t>
      </w:r>
      <w:proofErr w:type="gramEnd"/>
      <w:r w:rsidR="004D69FB" w:rsidRPr="00AB532A">
        <w:rPr>
          <w:color w:val="002060"/>
          <w:szCs w:val="24"/>
        </w:rPr>
        <w:t xml:space="preserve"> to illustrate how the women don’t belong in the same world, or sphere, as the men.  Nina Pelikan Straus, who delivers her critique of </w:t>
      </w:r>
      <w:r w:rsidR="004D69FB" w:rsidRPr="00AB532A">
        <w:rPr>
          <w:i/>
          <w:color w:val="002060"/>
          <w:szCs w:val="24"/>
        </w:rPr>
        <w:t>Heart of Darkness</w:t>
      </w:r>
      <w:r w:rsidR="004D69FB" w:rsidRPr="00AB532A">
        <w:rPr>
          <w:color w:val="002060"/>
          <w:szCs w:val="24"/>
        </w:rPr>
        <w:t xml:space="preserve"> in a feminist point of view, states that “the sexism of Marlow and Kurt is part of the “horror” that Conrad intends to disclose” and that “this horror… is deliberately hidden from Kurtz’s Intended”</w:t>
      </w:r>
      <w:r w:rsidR="00096174" w:rsidRPr="00AB532A">
        <w:rPr>
          <w:color w:val="002060"/>
          <w:szCs w:val="24"/>
        </w:rPr>
        <w:t xml:space="preserve"> (Straus</w:t>
      </w:r>
      <w:r w:rsidR="00A96815" w:rsidRPr="00AB532A">
        <w:rPr>
          <w:color w:val="002060"/>
          <w:szCs w:val="24"/>
        </w:rPr>
        <w:t xml:space="preserve"> 123)</w:t>
      </w:r>
      <w:r w:rsidR="004D69FB" w:rsidRPr="00AB532A">
        <w:rPr>
          <w:color w:val="002060"/>
          <w:szCs w:val="24"/>
        </w:rPr>
        <w:t>.</w:t>
      </w:r>
      <w:r w:rsidR="00977455" w:rsidRPr="00AB532A">
        <w:rPr>
          <w:color w:val="002060"/>
          <w:szCs w:val="24"/>
        </w:rPr>
        <w:t xml:space="preserve">  </w:t>
      </w:r>
      <w:r w:rsidR="004D5CDD" w:rsidRPr="00AB532A">
        <w:rPr>
          <w:color w:val="002060"/>
          <w:szCs w:val="24"/>
        </w:rPr>
        <w:t xml:space="preserve">The major </w:t>
      </w:r>
      <w:r w:rsidR="001E4726" w:rsidRPr="00AB532A">
        <w:rPr>
          <w:color w:val="002060"/>
          <w:szCs w:val="24"/>
        </w:rPr>
        <w:t>then becomes</w:t>
      </w:r>
      <w:r w:rsidR="004D5CDD" w:rsidRPr="00AB532A">
        <w:rPr>
          <w:color w:val="002060"/>
          <w:szCs w:val="24"/>
        </w:rPr>
        <w:t>: what is Marlow’s intention?  Is he trying to protect the Intended from the truth because it is “too dark”?</w:t>
      </w:r>
      <w:r w:rsidR="004D5CDD" w:rsidRPr="00AB532A">
        <w:rPr>
          <w:rFonts w:cs="Times New Roman"/>
          <w:color w:val="002060"/>
          <w:szCs w:val="24"/>
        </w:rPr>
        <w:t xml:space="preserve">  Or is he striving t</w:t>
      </w:r>
      <w:r w:rsidR="004D5CDD" w:rsidRPr="00AB532A">
        <w:rPr>
          <w:color w:val="002060"/>
          <w:szCs w:val="24"/>
        </w:rPr>
        <w:t>o protect the male realm because she, along with a</w:t>
      </w:r>
      <w:r w:rsidR="001E4726" w:rsidRPr="00AB532A">
        <w:rPr>
          <w:color w:val="002060"/>
          <w:szCs w:val="24"/>
        </w:rPr>
        <w:t>ll other women, is “out of it”?  I believe, and will try to prove, that Marlow is trying to protect the male realm from women who don’t belong.</w:t>
      </w:r>
      <w:r w:rsidR="004D5CDD" w:rsidRPr="00AB532A">
        <w:rPr>
          <w:color w:val="002060"/>
          <w:szCs w:val="24"/>
        </w:rPr>
        <w:t xml:space="preserve"> </w:t>
      </w:r>
    </w:p>
    <w:p w:rsidR="00DB4DD1" w:rsidRPr="00AB532A" w:rsidRDefault="00977455" w:rsidP="00DB4DD1">
      <w:pPr>
        <w:spacing w:line="480" w:lineRule="auto"/>
        <w:ind w:firstLine="720"/>
        <w:rPr>
          <w:color w:val="002060"/>
          <w:szCs w:val="24"/>
        </w:rPr>
      </w:pPr>
      <w:r w:rsidRPr="00AB532A">
        <w:rPr>
          <w:color w:val="002060"/>
          <w:szCs w:val="24"/>
        </w:rPr>
        <w:t>Conrad splits the book into two different realms: male and female</w:t>
      </w:r>
      <w:r w:rsidR="00A96815" w:rsidRPr="00AB532A">
        <w:rPr>
          <w:color w:val="002060"/>
          <w:szCs w:val="24"/>
        </w:rPr>
        <w:t xml:space="preserve"> (Straus 124)</w:t>
      </w:r>
      <w:r w:rsidRPr="00AB532A">
        <w:rPr>
          <w:color w:val="002060"/>
          <w:szCs w:val="24"/>
        </w:rPr>
        <w:t xml:space="preserve">.  </w:t>
      </w:r>
      <w:r w:rsidR="00A96815" w:rsidRPr="00AB532A">
        <w:rPr>
          <w:color w:val="002060"/>
          <w:szCs w:val="24"/>
        </w:rPr>
        <w:t>The women are left “out of it”, being lied to and deceived, while the</w:t>
      </w:r>
      <w:r w:rsidR="004D5CDD" w:rsidRPr="00AB532A">
        <w:rPr>
          <w:color w:val="002060"/>
          <w:szCs w:val="24"/>
        </w:rPr>
        <w:t xml:space="preserve"> </w:t>
      </w:r>
      <w:r w:rsidRPr="00AB532A">
        <w:rPr>
          <w:color w:val="002060"/>
          <w:szCs w:val="24"/>
        </w:rPr>
        <w:t>“truth is directed at and intended for men only”</w:t>
      </w:r>
      <w:r w:rsidR="00BD22A3" w:rsidRPr="00AB532A">
        <w:rPr>
          <w:color w:val="002060"/>
          <w:szCs w:val="24"/>
        </w:rPr>
        <w:t xml:space="preserve"> (</w:t>
      </w:r>
      <w:r w:rsidR="00A96815" w:rsidRPr="00AB532A">
        <w:rPr>
          <w:color w:val="002060"/>
          <w:szCs w:val="24"/>
        </w:rPr>
        <w:t xml:space="preserve">Straus </w:t>
      </w:r>
      <w:r w:rsidR="00BD22A3" w:rsidRPr="00AB532A">
        <w:rPr>
          <w:color w:val="002060"/>
          <w:szCs w:val="24"/>
        </w:rPr>
        <w:t>124)</w:t>
      </w:r>
      <w:r w:rsidRPr="00AB532A">
        <w:rPr>
          <w:color w:val="002060"/>
          <w:szCs w:val="24"/>
        </w:rPr>
        <w:t xml:space="preserve">.  Truth is hidden from women in </w:t>
      </w:r>
      <w:r w:rsidRPr="00AB532A">
        <w:rPr>
          <w:i/>
          <w:color w:val="002060"/>
          <w:szCs w:val="24"/>
        </w:rPr>
        <w:t>Heart of Darkness</w:t>
      </w:r>
      <w:r w:rsidRPr="00AB532A">
        <w:rPr>
          <w:color w:val="002060"/>
          <w:szCs w:val="24"/>
        </w:rPr>
        <w:t xml:space="preserve">.  This is most obvious in Marlow’s lie to the Intended.  Marlow obviously feels comfortable enough to share his secrets with </w:t>
      </w:r>
      <w:r w:rsidR="004D5CDD" w:rsidRPr="00AB532A">
        <w:rPr>
          <w:color w:val="002060"/>
          <w:szCs w:val="24"/>
        </w:rPr>
        <w:t xml:space="preserve">men, otherwise he would not tell </w:t>
      </w:r>
      <w:r w:rsidRPr="00AB532A">
        <w:rPr>
          <w:color w:val="002060"/>
          <w:szCs w:val="24"/>
        </w:rPr>
        <w:t>his companions the story</w:t>
      </w:r>
      <w:r w:rsidR="004D5CDD" w:rsidRPr="00AB532A">
        <w:rPr>
          <w:color w:val="002060"/>
          <w:szCs w:val="24"/>
        </w:rPr>
        <w:t xml:space="preserve"> of his travel to the Congo</w:t>
      </w:r>
      <w:r w:rsidRPr="00AB532A">
        <w:rPr>
          <w:color w:val="002060"/>
          <w:szCs w:val="24"/>
        </w:rPr>
        <w:t>, much less, admit that he lied to the Intended.</w:t>
      </w:r>
      <w:r w:rsidR="004D5CDD" w:rsidRPr="00AB532A">
        <w:rPr>
          <w:color w:val="002060"/>
          <w:szCs w:val="24"/>
        </w:rPr>
        <w:t xml:space="preserve">  He does not, however, confide in the </w:t>
      </w:r>
      <w:r w:rsidR="004D5CDD" w:rsidRPr="00AB532A">
        <w:rPr>
          <w:color w:val="002060"/>
          <w:szCs w:val="24"/>
        </w:rPr>
        <w:lastRenderedPageBreak/>
        <w:t>Intended because she is not capable of hearing the truth.  He “brings truth to men by virtue of his bringing falsehood to women” (</w:t>
      </w:r>
      <w:r w:rsidR="00BD22A3" w:rsidRPr="00AB532A">
        <w:rPr>
          <w:color w:val="002060"/>
          <w:szCs w:val="24"/>
        </w:rPr>
        <w:t>Straus 130</w:t>
      </w:r>
      <w:r w:rsidR="004D5CDD" w:rsidRPr="00AB532A">
        <w:rPr>
          <w:color w:val="002060"/>
          <w:szCs w:val="24"/>
        </w:rPr>
        <w:t xml:space="preserve">).  I believe that Marlow lies to the Intended in order to protect </w:t>
      </w:r>
      <w:r w:rsidR="002924B9" w:rsidRPr="00AB532A">
        <w:rPr>
          <w:color w:val="002060"/>
          <w:szCs w:val="24"/>
        </w:rPr>
        <w:t>t</w:t>
      </w:r>
      <w:r w:rsidR="004D5CDD" w:rsidRPr="00AB532A">
        <w:rPr>
          <w:color w:val="002060"/>
          <w:szCs w:val="24"/>
        </w:rPr>
        <w:t>he male sphere, which is the wilderne</w:t>
      </w:r>
      <w:r w:rsidR="00542D28" w:rsidRPr="00AB532A">
        <w:rPr>
          <w:color w:val="002060"/>
          <w:szCs w:val="24"/>
        </w:rPr>
        <w:t>ss, from women who are ignorant.  The Intended, because of Marlow’s deception, remains stereotypically and conveniently in her feminine sphere (Straus</w:t>
      </w:r>
      <w:r w:rsidR="00BD22A3" w:rsidRPr="00AB532A">
        <w:rPr>
          <w:color w:val="002060"/>
          <w:szCs w:val="24"/>
        </w:rPr>
        <w:t xml:space="preserve"> 134</w:t>
      </w:r>
      <w:r w:rsidR="00542D28" w:rsidRPr="00AB532A">
        <w:rPr>
          <w:color w:val="002060"/>
          <w:szCs w:val="24"/>
        </w:rPr>
        <w:t>).  Marlow truly believed, too, that women were “out of touch with truth” (Conrad 12).  He says that “They live in a world of t</w:t>
      </w:r>
      <w:r w:rsidR="00DB4DD1" w:rsidRPr="00AB532A">
        <w:rPr>
          <w:color w:val="002060"/>
          <w:szCs w:val="24"/>
        </w:rPr>
        <w:t>h</w:t>
      </w:r>
      <w:r w:rsidR="00542D28" w:rsidRPr="00AB532A">
        <w:rPr>
          <w:color w:val="002060"/>
          <w:szCs w:val="24"/>
        </w:rPr>
        <w:t>eir own and there had never been anything like it and never can be.  It is too beautiful altogether, and if they were to</w:t>
      </w:r>
      <w:r w:rsidR="00457F6E" w:rsidRPr="00AB532A">
        <w:rPr>
          <w:color w:val="002060"/>
          <w:szCs w:val="24"/>
        </w:rPr>
        <w:t xml:space="preserve"> set it up it would go to pieces</w:t>
      </w:r>
      <w:r w:rsidR="00542D28" w:rsidRPr="00AB532A">
        <w:rPr>
          <w:color w:val="002060"/>
          <w:szCs w:val="24"/>
        </w:rPr>
        <w:t xml:space="preserve"> before the first sunset.  Some confounded fact we men have been living </w:t>
      </w:r>
      <w:r w:rsidR="00DB4DD1" w:rsidRPr="00AB532A">
        <w:rPr>
          <w:color w:val="002060"/>
          <w:szCs w:val="24"/>
        </w:rPr>
        <w:t>contentedly</w:t>
      </w:r>
      <w:r w:rsidR="00542D28" w:rsidRPr="00AB532A">
        <w:rPr>
          <w:color w:val="002060"/>
          <w:szCs w:val="24"/>
        </w:rPr>
        <w:t xml:space="preserve"> with ever since the day of creation would start up and </w:t>
      </w:r>
      <w:r w:rsidR="00DB4DD1" w:rsidRPr="00AB532A">
        <w:rPr>
          <w:color w:val="002060"/>
          <w:szCs w:val="24"/>
        </w:rPr>
        <w:t>blow</w:t>
      </w:r>
      <w:r w:rsidR="00542D28" w:rsidRPr="00AB532A">
        <w:rPr>
          <w:color w:val="002060"/>
          <w:szCs w:val="24"/>
        </w:rPr>
        <w:t xml:space="preserve"> the </w:t>
      </w:r>
      <w:r w:rsidR="00DB4DD1" w:rsidRPr="00AB532A">
        <w:rPr>
          <w:color w:val="002060"/>
          <w:szCs w:val="24"/>
        </w:rPr>
        <w:t>whole</w:t>
      </w:r>
      <w:r w:rsidR="00542D28" w:rsidRPr="00AB532A">
        <w:rPr>
          <w:color w:val="002060"/>
          <w:szCs w:val="24"/>
        </w:rPr>
        <w:t xml:space="preserve"> thing over” (Conrad 12-3).</w:t>
      </w:r>
      <w:r w:rsidR="00AB532A" w:rsidRPr="00AB532A">
        <w:rPr>
          <w:color w:val="002060"/>
          <w:szCs w:val="24"/>
        </w:rPr>
        <w:t xml:space="preserve">  This proves Conrad’s feelings that if women, particularly European women (such as the Intended) who don’t understand the African culture, were to enter into the male sphere they would completely ruin that world.  He believes that women belong in their world, and men belong in another.    </w:t>
      </w:r>
      <w:r w:rsidR="004D5CDD" w:rsidRPr="00AB532A">
        <w:rPr>
          <w:color w:val="002060"/>
          <w:szCs w:val="24"/>
        </w:rPr>
        <w:t xml:space="preserve">  </w:t>
      </w:r>
    </w:p>
    <w:p w:rsidR="00DB4DD1" w:rsidRPr="00AB532A" w:rsidRDefault="00DB4DD1" w:rsidP="00DB4DD1">
      <w:pPr>
        <w:spacing w:line="480" w:lineRule="auto"/>
        <w:ind w:firstLine="720"/>
        <w:rPr>
          <w:color w:val="002060"/>
          <w:szCs w:val="24"/>
        </w:rPr>
      </w:pPr>
      <w:r w:rsidRPr="00AB532A">
        <w:rPr>
          <w:color w:val="002060"/>
        </w:rPr>
        <w:t xml:space="preserve">The binary oppositions of the male realm versus the female realm in </w:t>
      </w:r>
      <w:r w:rsidRPr="00AB532A">
        <w:rPr>
          <w:i/>
          <w:color w:val="002060"/>
        </w:rPr>
        <w:t>Heart of Darkness</w:t>
      </w:r>
      <w:r w:rsidRPr="00AB532A">
        <w:rPr>
          <w:color w:val="002060"/>
        </w:rPr>
        <w:t xml:space="preserve"> are used to depict Conrad’s view of how women don’t belong in the wilderness</w:t>
      </w:r>
      <w:r w:rsidRPr="00AB532A">
        <w:rPr>
          <w:color w:val="002060"/>
          <w:szCs w:val="24"/>
        </w:rPr>
        <w:t>.  The w</w:t>
      </w:r>
      <w:r w:rsidRPr="00AB532A">
        <w:rPr>
          <w:color w:val="002060"/>
        </w:rPr>
        <w:t>omen are different from the men in that they do not have universal experience.  They are also not equally treated because, unlike the men, they are confined to their territories.</w:t>
      </w:r>
      <w:r w:rsidRPr="00AB532A">
        <w:rPr>
          <w:color w:val="002060"/>
          <w:szCs w:val="24"/>
        </w:rPr>
        <w:t xml:space="preserve">  Conrad also illustrates the belief that women are not capable of handling the truth, unlike men.  </w:t>
      </w:r>
      <w:r w:rsidRPr="00AB532A">
        <w:rPr>
          <w:color w:val="002060"/>
        </w:rPr>
        <w:t xml:space="preserve">This is especially illustrated by Marlow’s lie to Kurtz’s Intended.  In </w:t>
      </w:r>
      <w:r w:rsidRPr="00AB532A">
        <w:rPr>
          <w:i/>
          <w:color w:val="002060"/>
        </w:rPr>
        <w:t>Heart of Darkness</w:t>
      </w:r>
      <w:r w:rsidRPr="00AB532A">
        <w:rPr>
          <w:color w:val="002060"/>
        </w:rPr>
        <w:t xml:space="preserve">, Conrad shows that although some women are strong, such as the barbarous African woman, there really isn’t room for them in the world of men.   </w:t>
      </w:r>
    </w:p>
    <w:p w:rsidR="00DB4DD1" w:rsidRPr="00AB532A" w:rsidRDefault="00DB4DD1" w:rsidP="00DB4DD1">
      <w:pPr>
        <w:spacing w:line="480" w:lineRule="auto"/>
        <w:ind w:firstLine="720"/>
        <w:rPr>
          <w:color w:val="002060"/>
          <w:szCs w:val="24"/>
        </w:rPr>
      </w:pPr>
    </w:p>
    <w:p w:rsidR="00B64D31" w:rsidRPr="00AB532A" w:rsidRDefault="00327DCC" w:rsidP="00AB532A">
      <w:pPr>
        <w:spacing w:line="480" w:lineRule="auto"/>
        <w:ind w:firstLine="720"/>
        <w:jc w:val="center"/>
        <w:rPr>
          <w:rFonts w:cs="Times New Roman"/>
          <w:color w:val="002060"/>
          <w:szCs w:val="24"/>
        </w:rPr>
      </w:pPr>
      <w:r w:rsidRPr="00AB532A">
        <w:rPr>
          <w:rFonts w:cs="Times New Roman"/>
          <w:color w:val="002060"/>
          <w:szCs w:val="24"/>
        </w:rPr>
        <w:lastRenderedPageBreak/>
        <w:t>Works Cited</w:t>
      </w:r>
    </w:p>
    <w:p w:rsidR="00327DCC" w:rsidRPr="00AB532A" w:rsidRDefault="00327DCC" w:rsidP="00327DCC">
      <w:pPr>
        <w:spacing w:line="480" w:lineRule="auto"/>
        <w:rPr>
          <w:rFonts w:cs="Times New Roman"/>
          <w:color w:val="002060"/>
          <w:szCs w:val="24"/>
        </w:rPr>
      </w:pPr>
      <w:r w:rsidRPr="00AB532A">
        <w:rPr>
          <w:rFonts w:cs="Times New Roman"/>
          <w:color w:val="002060"/>
          <w:szCs w:val="24"/>
        </w:rPr>
        <w:t xml:space="preserve">Conrad, Joseph. </w:t>
      </w:r>
      <w:proofErr w:type="gramStart"/>
      <w:r w:rsidRPr="00AB532A">
        <w:rPr>
          <w:rFonts w:cs="Times New Roman"/>
          <w:i/>
          <w:color w:val="002060"/>
          <w:szCs w:val="24"/>
        </w:rPr>
        <w:t>Heart of Darkness</w:t>
      </w:r>
      <w:r w:rsidRPr="00AB532A">
        <w:rPr>
          <w:rFonts w:cs="Times New Roman"/>
          <w:color w:val="002060"/>
          <w:szCs w:val="24"/>
        </w:rPr>
        <w:t>.</w:t>
      </w:r>
      <w:proofErr w:type="gramEnd"/>
      <w:r w:rsidRPr="00AB532A">
        <w:rPr>
          <w:rFonts w:cs="Times New Roman"/>
          <w:color w:val="002060"/>
          <w:szCs w:val="24"/>
        </w:rPr>
        <w:t xml:space="preserve">  </w:t>
      </w:r>
      <w:proofErr w:type="gramStart"/>
      <w:r w:rsidRPr="00AB532A">
        <w:rPr>
          <w:rFonts w:cs="Times New Roman"/>
          <w:color w:val="002060"/>
          <w:szCs w:val="24"/>
        </w:rPr>
        <w:t>Ed. Paul B. Armstrong.</w:t>
      </w:r>
      <w:proofErr w:type="gramEnd"/>
      <w:r w:rsidRPr="00AB532A">
        <w:rPr>
          <w:rFonts w:cs="Times New Roman"/>
          <w:color w:val="002060"/>
          <w:szCs w:val="24"/>
        </w:rPr>
        <w:t xml:space="preserve">  New York, NY: W.W. Norton &amp;</w:t>
      </w:r>
    </w:p>
    <w:p w:rsidR="00327DCC" w:rsidRPr="00AB532A" w:rsidRDefault="00327DCC" w:rsidP="00327DCC">
      <w:pPr>
        <w:spacing w:line="480" w:lineRule="auto"/>
        <w:ind w:firstLine="720"/>
        <w:rPr>
          <w:rFonts w:cs="Times New Roman"/>
          <w:color w:val="002060"/>
          <w:szCs w:val="24"/>
        </w:rPr>
      </w:pPr>
      <w:r w:rsidRPr="00AB532A">
        <w:rPr>
          <w:rFonts w:cs="Times New Roman"/>
          <w:color w:val="002060"/>
          <w:szCs w:val="24"/>
        </w:rPr>
        <w:t xml:space="preserve"> </w:t>
      </w:r>
      <w:proofErr w:type="gramStart"/>
      <w:r w:rsidRPr="00AB532A">
        <w:rPr>
          <w:rFonts w:cs="Times New Roman"/>
          <w:color w:val="002060"/>
          <w:szCs w:val="24"/>
        </w:rPr>
        <w:t>Company, Inc. 2006.</w:t>
      </w:r>
      <w:proofErr w:type="gramEnd"/>
      <w:r w:rsidRPr="00AB532A">
        <w:rPr>
          <w:rFonts w:cs="Times New Roman"/>
          <w:color w:val="002060"/>
          <w:szCs w:val="24"/>
        </w:rPr>
        <w:t xml:space="preserve"> </w:t>
      </w:r>
      <w:proofErr w:type="gramStart"/>
      <w:r w:rsidRPr="00AB532A">
        <w:rPr>
          <w:rFonts w:cs="Times New Roman"/>
          <w:color w:val="002060"/>
          <w:szCs w:val="24"/>
        </w:rPr>
        <w:t>4-77.</w:t>
      </w:r>
      <w:proofErr w:type="gramEnd"/>
    </w:p>
    <w:p w:rsidR="0066595D" w:rsidRPr="00AB532A" w:rsidRDefault="00327DCC" w:rsidP="0066595D">
      <w:pPr>
        <w:spacing w:line="480" w:lineRule="auto"/>
        <w:rPr>
          <w:rFonts w:cs="Times New Roman"/>
          <w:color w:val="002060"/>
          <w:szCs w:val="24"/>
        </w:rPr>
      </w:pPr>
      <w:r w:rsidRPr="00AB532A">
        <w:rPr>
          <w:rFonts w:cs="Times New Roman"/>
          <w:color w:val="002060"/>
          <w:szCs w:val="24"/>
        </w:rPr>
        <w:t xml:space="preserve">Dilworth, Thomas. “Listeners and Lies in </w:t>
      </w:r>
      <w:r w:rsidRPr="00AB532A">
        <w:rPr>
          <w:rFonts w:cs="Times New Roman"/>
          <w:i/>
          <w:color w:val="002060"/>
          <w:szCs w:val="24"/>
        </w:rPr>
        <w:t>Heart of Darkness</w:t>
      </w:r>
      <w:r w:rsidRPr="00AB532A">
        <w:rPr>
          <w:rFonts w:cs="Times New Roman"/>
          <w:color w:val="002060"/>
          <w:szCs w:val="24"/>
        </w:rPr>
        <w:t xml:space="preserve">”. </w:t>
      </w:r>
      <w:r w:rsidR="0066595D" w:rsidRPr="00AB532A">
        <w:rPr>
          <w:rFonts w:cs="Times New Roman"/>
          <w:color w:val="002060"/>
          <w:szCs w:val="24"/>
        </w:rPr>
        <w:t xml:space="preserve">The Review of English Studies, </w:t>
      </w:r>
    </w:p>
    <w:p w:rsidR="00327DCC" w:rsidRPr="00AB532A" w:rsidRDefault="0066595D" w:rsidP="0066595D">
      <w:pPr>
        <w:spacing w:line="480" w:lineRule="auto"/>
        <w:rPr>
          <w:rFonts w:cs="Times New Roman"/>
          <w:color w:val="002060"/>
          <w:szCs w:val="24"/>
        </w:rPr>
      </w:pPr>
      <w:r w:rsidRPr="00AB532A">
        <w:rPr>
          <w:rFonts w:cs="Times New Roman"/>
          <w:color w:val="002060"/>
          <w:szCs w:val="24"/>
        </w:rPr>
        <w:tab/>
        <w:t>New Series, Vol. 38, No. 152 (Nov. 1987), pp. 510-522.</w:t>
      </w:r>
    </w:p>
    <w:p w:rsidR="0066595D" w:rsidRPr="00AB532A" w:rsidRDefault="0066595D" w:rsidP="0066595D">
      <w:pPr>
        <w:spacing w:line="480" w:lineRule="auto"/>
        <w:rPr>
          <w:rFonts w:cs="Times New Roman"/>
          <w:color w:val="002060"/>
          <w:szCs w:val="24"/>
        </w:rPr>
      </w:pPr>
      <w:r w:rsidRPr="00AB532A">
        <w:rPr>
          <w:rFonts w:cs="Times New Roman"/>
          <w:color w:val="002060"/>
          <w:szCs w:val="24"/>
        </w:rPr>
        <w:t xml:space="preserve">McIntire, Gabrielle.  “The Women Do Not Travel:  Gender, Difference, and Incommensurability </w:t>
      </w:r>
    </w:p>
    <w:p w:rsidR="0066595D" w:rsidRPr="00AB532A" w:rsidRDefault="0066595D" w:rsidP="009B73CF">
      <w:pPr>
        <w:spacing w:line="480" w:lineRule="auto"/>
        <w:ind w:left="720"/>
        <w:rPr>
          <w:rFonts w:cs="Times New Roman"/>
          <w:color w:val="002060"/>
          <w:szCs w:val="24"/>
        </w:rPr>
      </w:pPr>
      <w:proofErr w:type="gramStart"/>
      <w:r w:rsidRPr="00AB532A">
        <w:rPr>
          <w:rFonts w:cs="Times New Roman"/>
          <w:color w:val="002060"/>
          <w:szCs w:val="24"/>
        </w:rPr>
        <w:t>in</w:t>
      </w:r>
      <w:proofErr w:type="gramEnd"/>
      <w:r w:rsidRPr="00AB532A">
        <w:rPr>
          <w:rFonts w:cs="Times New Roman"/>
          <w:color w:val="002060"/>
          <w:szCs w:val="24"/>
        </w:rPr>
        <w:t xml:space="preserve"> Conrad’s </w:t>
      </w:r>
      <w:r w:rsidRPr="00AB532A">
        <w:rPr>
          <w:rFonts w:cs="Times New Roman"/>
          <w:i/>
          <w:color w:val="002060"/>
          <w:szCs w:val="24"/>
        </w:rPr>
        <w:t>Heart of Darkness</w:t>
      </w:r>
      <w:r w:rsidRPr="00AB532A">
        <w:rPr>
          <w:rFonts w:cs="Times New Roman"/>
          <w:color w:val="002060"/>
          <w:szCs w:val="24"/>
        </w:rPr>
        <w:t>”.  Modern Fiction Studies, Vol. 48.2 (2002) 257-284.</w:t>
      </w:r>
    </w:p>
    <w:p w:rsidR="009B73CF" w:rsidRPr="00AB532A" w:rsidRDefault="0066595D" w:rsidP="0066595D">
      <w:pPr>
        <w:spacing w:line="480" w:lineRule="auto"/>
        <w:rPr>
          <w:rFonts w:cs="Times New Roman"/>
          <w:i/>
          <w:color w:val="002060"/>
          <w:szCs w:val="24"/>
        </w:rPr>
      </w:pPr>
      <w:r w:rsidRPr="00AB532A">
        <w:rPr>
          <w:rFonts w:cs="Times New Roman"/>
          <w:color w:val="002060"/>
          <w:szCs w:val="24"/>
        </w:rPr>
        <w:t xml:space="preserve">Straus, Nina </w:t>
      </w:r>
      <w:proofErr w:type="spellStart"/>
      <w:r w:rsidRPr="00AB532A">
        <w:rPr>
          <w:rFonts w:cs="Times New Roman"/>
          <w:color w:val="002060"/>
          <w:szCs w:val="24"/>
        </w:rPr>
        <w:t>Pelikan</w:t>
      </w:r>
      <w:proofErr w:type="spellEnd"/>
      <w:r w:rsidRPr="00AB532A">
        <w:rPr>
          <w:rFonts w:cs="Times New Roman"/>
          <w:color w:val="002060"/>
          <w:szCs w:val="24"/>
        </w:rPr>
        <w:t xml:space="preserve">.  “The Exclusion of the Intended from Secret Sharing in Conrad’s </w:t>
      </w:r>
      <w:r w:rsidRPr="00AB532A">
        <w:rPr>
          <w:rFonts w:cs="Times New Roman"/>
          <w:i/>
          <w:color w:val="002060"/>
          <w:szCs w:val="24"/>
        </w:rPr>
        <w:t>Heart of</w:t>
      </w:r>
    </w:p>
    <w:p w:rsidR="0066595D" w:rsidRPr="00AB532A" w:rsidRDefault="0066595D" w:rsidP="009B73CF">
      <w:pPr>
        <w:spacing w:line="480" w:lineRule="auto"/>
        <w:ind w:left="720"/>
        <w:rPr>
          <w:rFonts w:cs="Times New Roman"/>
          <w:color w:val="002060"/>
          <w:szCs w:val="24"/>
        </w:rPr>
      </w:pPr>
      <w:r w:rsidRPr="00AB532A">
        <w:rPr>
          <w:rFonts w:cs="Times New Roman"/>
          <w:i/>
          <w:color w:val="002060"/>
          <w:szCs w:val="24"/>
        </w:rPr>
        <w:t xml:space="preserve"> </w:t>
      </w:r>
      <w:proofErr w:type="gramStart"/>
      <w:r w:rsidRPr="00AB532A">
        <w:rPr>
          <w:rFonts w:cs="Times New Roman"/>
          <w:i/>
          <w:color w:val="002060"/>
          <w:szCs w:val="24"/>
        </w:rPr>
        <w:t>Darkness</w:t>
      </w:r>
      <w:r w:rsidRPr="00AB532A">
        <w:rPr>
          <w:rFonts w:cs="Times New Roman"/>
          <w:color w:val="002060"/>
          <w:szCs w:val="24"/>
        </w:rPr>
        <w:t>”.</w:t>
      </w:r>
      <w:proofErr w:type="gramEnd"/>
      <w:r w:rsidRPr="00AB532A">
        <w:rPr>
          <w:rFonts w:cs="Times New Roman"/>
          <w:color w:val="002060"/>
          <w:szCs w:val="24"/>
        </w:rPr>
        <w:t xml:space="preserve">  </w:t>
      </w:r>
      <w:r w:rsidRPr="00AB532A">
        <w:rPr>
          <w:rStyle w:val="HTMLCite"/>
          <w:color w:val="002060"/>
        </w:rPr>
        <w:t>NOVEL: A Forum on Fiction</w:t>
      </w:r>
      <w:r w:rsidRPr="00AB532A">
        <w:rPr>
          <w:color w:val="002060"/>
        </w:rPr>
        <w:t>, Vol. 20, No. 2, Twentieth Anniversary Issue: II (</w:t>
      </w:r>
      <w:proofErr w:type="gramStart"/>
      <w:r w:rsidRPr="00AB532A">
        <w:rPr>
          <w:color w:val="002060"/>
        </w:rPr>
        <w:t>Winter</w:t>
      </w:r>
      <w:proofErr w:type="gramEnd"/>
      <w:r w:rsidRPr="00AB532A">
        <w:rPr>
          <w:color w:val="002060"/>
        </w:rPr>
        <w:t>, 1987), pp. 123-137</w:t>
      </w:r>
      <w:r w:rsidR="009B73CF" w:rsidRPr="00AB532A">
        <w:rPr>
          <w:color w:val="002060"/>
        </w:rPr>
        <w:t>.</w:t>
      </w:r>
      <w:r w:rsidRPr="00AB532A">
        <w:rPr>
          <w:color w:val="002060"/>
        </w:rPr>
        <w:t xml:space="preserve"> </w:t>
      </w:r>
      <w:r w:rsidRPr="00AB532A">
        <w:rPr>
          <w:rFonts w:cs="Times New Roman"/>
          <w:color w:val="002060"/>
          <w:szCs w:val="24"/>
        </w:rPr>
        <w:t xml:space="preserve"> </w:t>
      </w:r>
    </w:p>
    <w:p w:rsidR="0066595D" w:rsidRPr="00AB532A" w:rsidRDefault="0066595D" w:rsidP="00327DCC">
      <w:pPr>
        <w:spacing w:line="480" w:lineRule="auto"/>
        <w:rPr>
          <w:rFonts w:cs="Times New Roman"/>
          <w:color w:val="002060"/>
          <w:szCs w:val="24"/>
        </w:rPr>
      </w:pPr>
    </w:p>
    <w:p w:rsidR="00327DCC" w:rsidRPr="00AB532A" w:rsidRDefault="00327DCC" w:rsidP="00327DCC">
      <w:pPr>
        <w:spacing w:line="480" w:lineRule="auto"/>
        <w:rPr>
          <w:rFonts w:cs="Times New Roman"/>
          <w:color w:val="002060"/>
          <w:szCs w:val="24"/>
        </w:rPr>
      </w:pPr>
    </w:p>
    <w:sectPr w:rsidR="00327DCC" w:rsidRPr="00AB532A" w:rsidSect="00B64D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C6026"/>
    <w:multiLevelType w:val="hybridMultilevel"/>
    <w:tmpl w:val="B584F928"/>
    <w:lvl w:ilvl="0" w:tplc="9A0C5582">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18A2B06"/>
    <w:multiLevelType w:val="hybridMultilevel"/>
    <w:tmpl w:val="AD0E993A"/>
    <w:lvl w:ilvl="0" w:tplc="6CAA35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7D3E0D"/>
    <w:multiLevelType w:val="hybridMultilevel"/>
    <w:tmpl w:val="59B6FD70"/>
    <w:lvl w:ilvl="0" w:tplc="D4A41A8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7043C"/>
    <w:rsid w:val="00001A80"/>
    <w:rsid w:val="00002AE1"/>
    <w:rsid w:val="000156E8"/>
    <w:rsid w:val="000175D1"/>
    <w:rsid w:val="00017A8F"/>
    <w:rsid w:val="000307BB"/>
    <w:rsid w:val="000433AF"/>
    <w:rsid w:val="00067A06"/>
    <w:rsid w:val="000708EF"/>
    <w:rsid w:val="00072073"/>
    <w:rsid w:val="00074202"/>
    <w:rsid w:val="0007508F"/>
    <w:rsid w:val="00094901"/>
    <w:rsid w:val="00096174"/>
    <w:rsid w:val="000A32AF"/>
    <w:rsid w:val="000A494D"/>
    <w:rsid w:val="000B24B6"/>
    <w:rsid w:val="000D5A44"/>
    <w:rsid w:val="000E2C6E"/>
    <w:rsid w:val="000F6A4B"/>
    <w:rsid w:val="001303B6"/>
    <w:rsid w:val="00142371"/>
    <w:rsid w:val="001442A0"/>
    <w:rsid w:val="00144975"/>
    <w:rsid w:val="001558EB"/>
    <w:rsid w:val="0017053A"/>
    <w:rsid w:val="001736BD"/>
    <w:rsid w:val="0017631F"/>
    <w:rsid w:val="0017754F"/>
    <w:rsid w:val="001971A0"/>
    <w:rsid w:val="00197D8F"/>
    <w:rsid w:val="001A296C"/>
    <w:rsid w:val="001B4003"/>
    <w:rsid w:val="001B4B04"/>
    <w:rsid w:val="001C34CC"/>
    <w:rsid w:val="001E462F"/>
    <w:rsid w:val="001E4726"/>
    <w:rsid w:val="001E639D"/>
    <w:rsid w:val="001E6AE3"/>
    <w:rsid w:val="001F6141"/>
    <w:rsid w:val="00214CCA"/>
    <w:rsid w:val="00216F5E"/>
    <w:rsid w:val="0022777F"/>
    <w:rsid w:val="00242815"/>
    <w:rsid w:val="0024516D"/>
    <w:rsid w:val="002462CB"/>
    <w:rsid w:val="002520B3"/>
    <w:rsid w:val="002546E9"/>
    <w:rsid w:val="002556D1"/>
    <w:rsid w:val="00264CD7"/>
    <w:rsid w:val="002714EE"/>
    <w:rsid w:val="00274587"/>
    <w:rsid w:val="00280A2C"/>
    <w:rsid w:val="00285CEC"/>
    <w:rsid w:val="002924B9"/>
    <w:rsid w:val="002A302A"/>
    <w:rsid w:val="002A33B6"/>
    <w:rsid w:val="002A38FB"/>
    <w:rsid w:val="002A68C1"/>
    <w:rsid w:val="002B15AC"/>
    <w:rsid w:val="002B7944"/>
    <w:rsid w:val="002C7911"/>
    <w:rsid w:val="002D07AE"/>
    <w:rsid w:val="002E4835"/>
    <w:rsid w:val="002F3DDD"/>
    <w:rsid w:val="002F5A8E"/>
    <w:rsid w:val="00302D57"/>
    <w:rsid w:val="003278A0"/>
    <w:rsid w:val="00327DCC"/>
    <w:rsid w:val="003312FF"/>
    <w:rsid w:val="00341F9C"/>
    <w:rsid w:val="00353258"/>
    <w:rsid w:val="0035720B"/>
    <w:rsid w:val="0036319C"/>
    <w:rsid w:val="003760F5"/>
    <w:rsid w:val="00391A82"/>
    <w:rsid w:val="00393609"/>
    <w:rsid w:val="00395604"/>
    <w:rsid w:val="003A0AA0"/>
    <w:rsid w:val="003A2CAA"/>
    <w:rsid w:val="003A3F29"/>
    <w:rsid w:val="003A5582"/>
    <w:rsid w:val="003B30CE"/>
    <w:rsid w:val="003B712B"/>
    <w:rsid w:val="003C0521"/>
    <w:rsid w:val="003C4911"/>
    <w:rsid w:val="003D6F63"/>
    <w:rsid w:val="003E1266"/>
    <w:rsid w:val="00401986"/>
    <w:rsid w:val="00401C84"/>
    <w:rsid w:val="004043D0"/>
    <w:rsid w:val="0040461A"/>
    <w:rsid w:val="00412C71"/>
    <w:rsid w:val="0041402A"/>
    <w:rsid w:val="004219DB"/>
    <w:rsid w:val="004254FC"/>
    <w:rsid w:val="004325CD"/>
    <w:rsid w:val="00437A56"/>
    <w:rsid w:val="00457154"/>
    <w:rsid w:val="00457F6E"/>
    <w:rsid w:val="0046127C"/>
    <w:rsid w:val="004679A2"/>
    <w:rsid w:val="004A4669"/>
    <w:rsid w:val="004A52C4"/>
    <w:rsid w:val="004B2544"/>
    <w:rsid w:val="004B35F9"/>
    <w:rsid w:val="004C050A"/>
    <w:rsid w:val="004C5D3F"/>
    <w:rsid w:val="004D2EBA"/>
    <w:rsid w:val="004D5CDD"/>
    <w:rsid w:val="004D69FB"/>
    <w:rsid w:val="004E6973"/>
    <w:rsid w:val="004F0479"/>
    <w:rsid w:val="0051028A"/>
    <w:rsid w:val="0052006D"/>
    <w:rsid w:val="00530113"/>
    <w:rsid w:val="00531F2C"/>
    <w:rsid w:val="005367C7"/>
    <w:rsid w:val="005426FD"/>
    <w:rsid w:val="00542D28"/>
    <w:rsid w:val="00544A5F"/>
    <w:rsid w:val="00555589"/>
    <w:rsid w:val="00562713"/>
    <w:rsid w:val="00564958"/>
    <w:rsid w:val="00572CCB"/>
    <w:rsid w:val="005A4188"/>
    <w:rsid w:val="005A47AD"/>
    <w:rsid w:val="005C5194"/>
    <w:rsid w:val="005D03A3"/>
    <w:rsid w:val="005D153E"/>
    <w:rsid w:val="005D70AC"/>
    <w:rsid w:val="005E0139"/>
    <w:rsid w:val="005E6C31"/>
    <w:rsid w:val="00604A61"/>
    <w:rsid w:val="006153EA"/>
    <w:rsid w:val="006200B2"/>
    <w:rsid w:val="00620E96"/>
    <w:rsid w:val="0064022D"/>
    <w:rsid w:val="00642890"/>
    <w:rsid w:val="006563FC"/>
    <w:rsid w:val="00657BC1"/>
    <w:rsid w:val="00663869"/>
    <w:rsid w:val="0066595D"/>
    <w:rsid w:val="0067043C"/>
    <w:rsid w:val="00675C88"/>
    <w:rsid w:val="0067672F"/>
    <w:rsid w:val="00676F95"/>
    <w:rsid w:val="006876D0"/>
    <w:rsid w:val="006A5CC3"/>
    <w:rsid w:val="006B148E"/>
    <w:rsid w:val="006B5A09"/>
    <w:rsid w:val="00700861"/>
    <w:rsid w:val="0071760C"/>
    <w:rsid w:val="007227C4"/>
    <w:rsid w:val="00735DC9"/>
    <w:rsid w:val="00743267"/>
    <w:rsid w:val="00766789"/>
    <w:rsid w:val="00770ADC"/>
    <w:rsid w:val="00774E35"/>
    <w:rsid w:val="0077682F"/>
    <w:rsid w:val="00793ACD"/>
    <w:rsid w:val="007A0544"/>
    <w:rsid w:val="007B2102"/>
    <w:rsid w:val="007C08EB"/>
    <w:rsid w:val="007C516A"/>
    <w:rsid w:val="007D50D4"/>
    <w:rsid w:val="007E271D"/>
    <w:rsid w:val="007E6157"/>
    <w:rsid w:val="007F2FAF"/>
    <w:rsid w:val="00800EE9"/>
    <w:rsid w:val="00801E3C"/>
    <w:rsid w:val="008259C6"/>
    <w:rsid w:val="008360D1"/>
    <w:rsid w:val="00836E1B"/>
    <w:rsid w:val="00841848"/>
    <w:rsid w:val="00850C21"/>
    <w:rsid w:val="00853F88"/>
    <w:rsid w:val="008634DA"/>
    <w:rsid w:val="0086739D"/>
    <w:rsid w:val="00873674"/>
    <w:rsid w:val="0088594D"/>
    <w:rsid w:val="0089228A"/>
    <w:rsid w:val="008A12B4"/>
    <w:rsid w:val="008C4546"/>
    <w:rsid w:val="008F4173"/>
    <w:rsid w:val="008F7AB2"/>
    <w:rsid w:val="00900814"/>
    <w:rsid w:val="00910303"/>
    <w:rsid w:val="00916529"/>
    <w:rsid w:val="00921198"/>
    <w:rsid w:val="00926D72"/>
    <w:rsid w:val="009422E3"/>
    <w:rsid w:val="00944D06"/>
    <w:rsid w:val="0095126E"/>
    <w:rsid w:val="009764E8"/>
    <w:rsid w:val="00977455"/>
    <w:rsid w:val="0098449E"/>
    <w:rsid w:val="00984E1D"/>
    <w:rsid w:val="009A1B3E"/>
    <w:rsid w:val="009A79B8"/>
    <w:rsid w:val="009A7A57"/>
    <w:rsid w:val="009B0EE3"/>
    <w:rsid w:val="009B3801"/>
    <w:rsid w:val="009B40E8"/>
    <w:rsid w:val="009B57DE"/>
    <w:rsid w:val="009B6378"/>
    <w:rsid w:val="009B73CF"/>
    <w:rsid w:val="009D4626"/>
    <w:rsid w:val="009D55AD"/>
    <w:rsid w:val="009E66A7"/>
    <w:rsid w:val="009E7CFE"/>
    <w:rsid w:val="00A12926"/>
    <w:rsid w:val="00A17611"/>
    <w:rsid w:val="00A261BF"/>
    <w:rsid w:val="00A32D45"/>
    <w:rsid w:val="00A41F9C"/>
    <w:rsid w:val="00A50D04"/>
    <w:rsid w:val="00A54B40"/>
    <w:rsid w:val="00A746B7"/>
    <w:rsid w:val="00A86745"/>
    <w:rsid w:val="00A93782"/>
    <w:rsid w:val="00A948A3"/>
    <w:rsid w:val="00A961D5"/>
    <w:rsid w:val="00A96815"/>
    <w:rsid w:val="00AA4A0E"/>
    <w:rsid w:val="00AA75F5"/>
    <w:rsid w:val="00AB532A"/>
    <w:rsid w:val="00AB5C53"/>
    <w:rsid w:val="00AB6C36"/>
    <w:rsid w:val="00AE3CF1"/>
    <w:rsid w:val="00AE4569"/>
    <w:rsid w:val="00AF529B"/>
    <w:rsid w:val="00B01C34"/>
    <w:rsid w:val="00B020DF"/>
    <w:rsid w:val="00B11E0E"/>
    <w:rsid w:val="00B31F4E"/>
    <w:rsid w:val="00B32796"/>
    <w:rsid w:val="00B37676"/>
    <w:rsid w:val="00B5316A"/>
    <w:rsid w:val="00B64D31"/>
    <w:rsid w:val="00B7014D"/>
    <w:rsid w:val="00B72A79"/>
    <w:rsid w:val="00B77F80"/>
    <w:rsid w:val="00B927E7"/>
    <w:rsid w:val="00B93D83"/>
    <w:rsid w:val="00BA12B3"/>
    <w:rsid w:val="00BA4E72"/>
    <w:rsid w:val="00BB272E"/>
    <w:rsid w:val="00BB3800"/>
    <w:rsid w:val="00BB4703"/>
    <w:rsid w:val="00BB7477"/>
    <w:rsid w:val="00BC274A"/>
    <w:rsid w:val="00BD0970"/>
    <w:rsid w:val="00BD22A3"/>
    <w:rsid w:val="00BE37BD"/>
    <w:rsid w:val="00BE6DCE"/>
    <w:rsid w:val="00BE74A0"/>
    <w:rsid w:val="00C11D06"/>
    <w:rsid w:val="00C12C24"/>
    <w:rsid w:val="00C1550B"/>
    <w:rsid w:val="00C2593F"/>
    <w:rsid w:val="00C277E2"/>
    <w:rsid w:val="00C35717"/>
    <w:rsid w:val="00C43FE1"/>
    <w:rsid w:val="00C63197"/>
    <w:rsid w:val="00C70933"/>
    <w:rsid w:val="00C86A8E"/>
    <w:rsid w:val="00C87FB3"/>
    <w:rsid w:val="00C92160"/>
    <w:rsid w:val="00CC14DC"/>
    <w:rsid w:val="00CC2CAE"/>
    <w:rsid w:val="00CC7870"/>
    <w:rsid w:val="00CD42A7"/>
    <w:rsid w:val="00CD4FF4"/>
    <w:rsid w:val="00CE212B"/>
    <w:rsid w:val="00CE3C68"/>
    <w:rsid w:val="00CF2078"/>
    <w:rsid w:val="00CF4D38"/>
    <w:rsid w:val="00D07C7D"/>
    <w:rsid w:val="00D14456"/>
    <w:rsid w:val="00D160EA"/>
    <w:rsid w:val="00D25E88"/>
    <w:rsid w:val="00D27A70"/>
    <w:rsid w:val="00D44DD6"/>
    <w:rsid w:val="00D50F77"/>
    <w:rsid w:val="00D5239C"/>
    <w:rsid w:val="00D601F8"/>
    <w:rsid w:val="00D6581D"/>
    <w:rsid w:val="00D71ABE"/>
    <w:rsid w:val="00D71F6B"/>
    <w:rsid w:val="00D81C8D"/>
    <w:rsid w:val="00D835B4"/>
    <w:rsid w:val="00D8394D"/>
    <w:rsid w:val="00D90036"/>
    <w:rsid w:val="00DA0E89"/>
    <w:rsid w:val="00DB053A"/>
    <w:rsid w:val="00DB4DD1"/>
    <w:rsid w:val="00DC1EC2"/>
    <w:rsid w:val="00DC5929"/>
    <w:rsid w:val="00DE29AF"/>
    <w:rsid w:val="00DE2EE5"/>
    <w:rsid w:val="00DF5808"/>
    <w:rsid w:val="00E01B35"/>
    <w:rsid w:val="00E02428"/>
    <w:rsid w:val="00E06EC3"/>
    <w:rsid w:val="00E14E7A"/>
    <w:rsid w:val="00E25398"/>
    <w:rsid w:val="00E401EE"/>
    <w:rsid w:val="00E45B2A"/>
    <w:rsid w:val="00E521AD"/>
    <w:rsid w:val="00E64126"/>
    <w:rsid w:val="00E672A8"/>
    <w:rsid w:val="00E76891"/>
    <w:rsid w:val="00E80AE4"/>
    <w:rsid w:val="00E869BF"/>
    <w:rsid w:val="00E91DCC"/>
    <w:rsid w:val="00E9287C"/>
    <w:rsid w:val="00E9588A"/>
    <w:rsid w:val="00EA0473"/>
    <w:rsid w:val="00EA3476"/>
    <w:rsid w:val="00EB52B8"/>
    <w:rsid w:val="00EB6995"/>
    <w:rsid w:val="00ED565A"/>
    <w:rsid w:val="00EE7DEC"/>
    <w:rsid w:val="00EF00EC"/>
    <w:rsid w:val="00F016D6"/>
    <w:rsid w:val="00F1272A"/>
    <w:rsid w:val="00F1384A"/>
    <w:rsid w:val="00F152A0"/>
    <w:rsid w:val="00F208D3"/>
    <w:rsid w:val="00F25C7E"/>
    <w:rsid w:val="00F26BAE"/>
    <w:rsid w:val="00F35038"/>
    <w:rsid w:val="00F42874"/>
    <w:rsid w:val="00F44631"/>
    <w:rsid w:val="00F55699"/>
    <w:rsid w:val="00F63465"/>
    <w:rsid w:val="00F72CEE"/>
    <w:rsid w:val="00F7363A"/>
    <w:rsid w:val="00F7797B"/>
    <w:rsid w:val="00F817C8"/>
    <w:rsid w:val="00F84658"/>
    <w:rsid w:val="00F86F52"/>
    <w:rsid w:val="00FA5560"/>
    <w:rsid w:val="00FB729A"/>
    <w:rsid w:val="00FC36C5"/>
    <w:rsid w:val="00FC5123"/>
    <w:rsid w:val="00FC6730"/>
    <w:rsid w:val="00FC6887"/>
    <w:rsid w:val="00FD4159"/>
    <w:rsid w:val="00FE14E4"/>
    <w:rsid w:val="00FE72CF"/>
    <w:rsid w:val="00FF7B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F9C"/>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CDD"/>
    <w:pPr>
      <w:ind w:left="720"/>
      <w:contextualSpacing/>
    </w:pPr>
    <w:rPr>
      <w:rFonts w:ascii="Calibri" w:eastAsia="Calibri" w:hAnsi="Calibri" w:cs="Times New Roman"/>
      <w:sz w:val="22"/>
    </w:rPr>
  </w:style>
  <w:style w:type="character" w:styleId="HTMLCite">
    <w:name w:val="HTML Cite"/>
    <w:basedOn w:val="DefaultParagraphFont"/>
    <w:uiPriority w:val="99"/>
    <w:semiHidden/>
    <w:unhideWhenUsed/>
    <w:rsid w:val="0066595D"/>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635</TotalTime>
  <Pages>6</Pages>
  <Words>1519</Words>
  <Characters>8664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Sexton</dc:creator>
  <cp:lastModifiedBy>mdickens</cp:lastModifiedBy>
  <cp:revision>9</cp:revision>
  <cp:lastPrinted>2011-02-23T20:04:00Z</cp:lastPrinted>
  <dcterms:created xsi:type="dcterms:W3CDTF">2009-03-27T18:35:00Z</dcterms:created>
  <dcterms:modified xsi:type="dcterms:W3CDTF">2011-02-23T20:04:00Z</dcterms:modified>
</cp:coreProperties>
</file>