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50A6BC5C" w:rsidR="006D5AFB" w:rsidRPr="006D5AFB" w:rsidRDefault="00E94FF3" w:rsidP="00766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D19F6">
              <w:rPr>
                <w:sz w:val="24"/>
                <w:szCs w:val="24"/>
              </w:rPr>
              <w:t>/9</w:t>
            </w:r>
            <w:r w:rsidR="00E0677D">
              <w:rPr>
                <w:sz w:val="24"/>
                <w:szCs w:val="24"/>
              </w:rPr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1B4385A1" w:rsidR="006D5AFB" w:rsidRPr="006D5AFB" w:rsidRDefault="00E94FF3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2D5EEC0F" w14:textId="77777777" w:rsidR="009F12F3" w:rsidRDefault="009F12F3" w:rsidP="001B045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1B0450">
              <w:rPr>
                <w:color w:val="2E74B5" w:themeColor="accent1" w:themeShade="BF"/>
              </w:rPr>
              <w:t>2 Rational functions</w:t>
            </w:r>
          </w:p>
          <w:p w14:paraId="39AAF269" w14:textId="42F619C1" w:rsidR="001B0450" w:rsidRPr="00EE572D" w:rsidRDefault="001B0450" w:rsidP="001B045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2.1 Vertical asymptotes</w:t>
            </w:r>
            <w:r w:rsidR="009077CA">
              <w:rPr>
                <w:color w:val="2E74B5" w:themeColor="accent1" w:themeShade="BF"/>
              </w:rPr>
              <w:t xml:space="preserve"> p. 17</w:t>
            </w:r>
          </w:p>
        </w:tc>
        <w:tc>
          <w:tcPr>
            <w:tcW w:w="2880" w:type="dxa"/>
          </w:tcPr>
          <w:p w14:paraId="39B5B4C5" w14:textId="5D473D09" w:rsidR="001B0450" w:rsidRDefault="00CF1F0B" w:rsidP="001B0450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</w:t>
            </w:r>
            <w:r w:rsidR="001B0450">
              <w:rPr>
                <w:rFonts w:ascii="BlissPro-Light" w:hAnsi="BlissPro-Light" w:cs="BlissPro-Light"/>
                <w:sz w:val="21"/>
                <w:szCs w:val="21"/>
              </w:rPr>
              <w:t>2 Rational functions and graphs: Sketch graphs of simple rational functions,</w:t>
            </w:r>
          </w:p>
          <w:p w14:paraId="06EF6A06" w14:textId="07FB9AE9" w:rsidR="001B0450" w:rsidRDefault="001B0450" w:rsidP="001B0450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including the determination of oblique asymptotes, in cases where the degree of the</w:t>
            </w:r>
          </w:p>
          <w:p w14:paraId="6E228A79" w14:textId="76C535CE" w:rsidR="00CF1F0B" w:rsidRPr="00CF1F0B" w:rsidRDefault="001B0450" w:rsidP="001B0450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numerator and the denominator are at most 2</w:t>
            </w:r>
          </w:p>
        </w:tc>
        <w:tc>
          <w:tcPr>
            <w:tcW w:w="3780" w:type="dxa"/>
            <w:gridSpan w:val="2"/>
          </w:tcPr>
          <w:p w14:paraId="67A2C199" w14:textId="0724DF67" w:rsidR="001B0450" w:rsidRPr="00CF1F0B" w:rsidRDefault="001B0450" w:rsidP="001B045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Improper fraction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degree</w:t>
            </w:r>
            <w:r w:rsidRPr="001B0450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num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&gt;=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degree</w:t>
            </w:r>
            <w:r w:rsidRPr="001B0450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den</w:t>
            </w:r>
            <w:proofErr w:type="spellEnd"/>
          </w:p>
          <w:p w14:paraId="4E99C731" w14:textId="77777777" w:rsidR="00CF1F0B" w:rsidRDefault="001B0450" w:rsidP="00E72B5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Horizontal asymptote</w:t>
            </w:r>
          </w:p>
          <w:p w14:paraId="32D4F424" w14:textId="77777777" w:rsidR="001B0450" w:rsidRDefault="001B0450" w:rsidP="001B0450">
            <w:pPr>
              <w:pStyle w:val="ListParagraph"/>
              <w:numPr>
                <w:ilvl w:val="0"/>
                <w:numId w:val="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>
              <m:r>
                <w:rPr>
                  <w:rFonts w:ascii="Cambria Math" w:eastAsiaTheme="minorEastAsia" w:hAnsi="Cambria Math" w:cs="Calibri"/>
                  <w:color w:val="2E74B5" w:themeColor="accent1" w:themeShade="BF"/>
                  <w:sz w:val="21"/>
                </w:rPr>
                <m:t>|x|→∞</m:t>
              </m:r>
            </m:oMath>
          </w:p>
          <w:p w14:paraId="1CF7DF88" w14:textId="7309D36B" w:rsidR="001B0450" w:rsidRDefault="001B0450" w:rsidP="001B0450">
            <w:pPr>
              <w:ind w:left="360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or</w:t>
            </w:r>
          </w:p>
          <w:p w14:paraId="7D71D57C" w14:textId="77777777" w:rsidR="001B0450" w:rsidRDefault="001B0450" w:rsidP="001B0450">
            <w:pPr>
              <w:pStyle w:val="ListParagraph"/>
              <w:numPr>
                <w:ilvl w:val="0"/>
                <w:numId w:val="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Partial fractions</w:t>
            </w:r>
          </w:p>
          <w:p w14:paraId="7E74BAB2" w14:textId="77777777" w:rsidR="001B0450" w:rsidRDefault="001B0450" w:rsidP="001B045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2A973C19" w14:textId="77777777" w:rsidR="001B0450" w:rsidRDefault="001B0450" w:rsidP="001B045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Sketch graph</w:t>
            </w:r>
          </w:p>
          <w:p w14:paraId="2EEFFF61" w14:textId="77777777" w:rsidR="001B0450" w:rsidRDefault="001B0450" w:rsidP="001B045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ID v/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asym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h/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asym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intercepts, check values both sides of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asym</w:t>
            </w:r>
            <w:proofErr w:type="spellEnd"/>
          </w:p>
          <w:p w14:paraId="01154675" w14:textId="77777777" w:rsidR="001B0450" w:rsidRDefault="001B0450" w:rsidP="001B045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1B0450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If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non-linear denominator, turning points</w:t>
            </w:r>
          </w:p>
          <w:p w14:paraId="756528B9" w14:textId="77777777" w:rsidR="001B0450" w:rsidRDefault="001B0450" w:rsidP="001B0450">
            <w:pPr>
              <w:pStyle w:val="ListParagraph"/>
              <w:numPr>
                <w:ilvl w:val="0"/>
                <w:numId w:val="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Differentiate, set to 0</w:t>
            </w:r>
          </w:p>
          <w:p w14:paraId="16EE37AB" w14:textId="77777777" w:rsidR="001B0450" w:rsidRDefault="001B0450" w:rsidP="001B0450">
            <w:pPr>
              <w:ind w:left="360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or</w:t>
            </w:r>
          </w:p>
          <w:p w14:paraId="57D28868" w14:textId="77777777" w:rsidR="001B0450" w:rsidRDefault="001B0450" w:rsidP="001B0450">
            <w:pPr>
              <w:pStyle w:val="ListParagraph"/>
              <w:numPr>
                <w:ilvl w:val="0"/>
                <w:numId w:val="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Manipulate/evaluate b</w:t>
            </w:r>
            <w:r w:rsidRPr="001B0450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-4ac</w:t>
            </w:r>
          </w:p>
          <w:p w14:paraId="4C8AC576" w14:textId="77777777" w:rsidR="001B0450" w:rsidRPr="001B0450" w:rsidRDefault="001B0450" w:rsidP="001B045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+bx+c)</m:t>
                    </m:r>
                  </m:num>
                  <m:den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+ex+f</m:t>
                    </m:r>
                  </m:den>
                </m:f>
              </m:oMath>
            </m:oMathPara>
          </w:p>
          <w:p w14:paraId="5811EE76" w14:textId="77777777" w:rsidR="001B0450" w:rsidRPr="009077CA" w:rsidRDefault="004E6430" w:rsidP="009077C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dy-a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ey-b</m:t>
                    </m:r>
                  </m:e>
                </m:d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x+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fy-c</m:t>
                    </m:r>
                  </m:e>
                </m:d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=0</m:t>
                </m:r>
              </m:oMath>
            </m:oMathPara>
          </w:p>
          <w:p w14:paraId="0AECDB95" w14:textId="30973818" w:rsidR="009077CA" w:rsidRDefault="009077CA" w:rsidP="009077C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</w:t>
            </w:r>
            <w:r w:rsidR="004E643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2.1, 2.2</w:t>
            </w:r>
          </w:p>
          <w:p w14:paraId="3E27261D" w14:textId="0AE2B047" w:rsidR="009077CA" w:rsidRPr="001B0450" w:rsidRDefault="009077CA" w:rsidP="009077C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2A 1b, 3a</w:t>
            </w:r>
          </w:p>
        </w:tc>
        <w:tc>
          <w:tcPr>
            <w:tcW w:w="3240" w:type="dxa"/>
            <w:gridSpan w:val="2"/>
          </w:tcPr>
          <w:p w14:paraId="3C690B9C" w14:textId="24EF4580" w:rsidR="00634CE6" w:rsidRPr="004A3458" w:rsidRDefault="00634CE6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 w:rsidRPr="004A3458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61115A40" w14:textId="77777777" w:rsidR="00634CE6" w:rsidRDefault="00634CE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1C02E53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4BE27A0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E032088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903E18B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2D73610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59153EF" w14:textId="77777777" w:rsidR="009077CA" w:rsidRDefault="009077CA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34DBDE2" w14:textId="77777777" w:rsidR="009077CA" w:rsidRDefault="009077CA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643A86C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CA1242E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CF5D699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E3675E9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A564CAD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BC86B4D" w14:textId="77777777" w:rsidR="00E72B59" w:rsidRDefault="00E72B59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2C95CBE" w14:textId="77777777" w:rsidR="00E72B59" w:rsidRPr="00E72B59" w:rsidRDefault="00E72B59" w:rsidP="00480920">
            <w:pPr>
              <w:rPr>
                <w:color w:val="2E74B5" w:themeColor="accent1" w:themeShade="BF"/>
                <w:sz w:val="16"/>
                <w:szCs w:val="16"/>
                <w:u w:val="words"/>
                <w:lang w:val="es-CO"/>
              </w:rPr>
            </w:pPr>
          </w:p>
          <w:p w14:paraId="5B991910" w14:textId="77777777" w:rsidR="00A24836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13DE4CA8" w:rsidR="00A24836" w:rsidRPr="004A3458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9077CA" w:rsidRPr="00671081" w14:paraId="338605A9" w14:textId="77777777" w:rsidTr="002421DB">
        <w:tc>
          <w:tcPr>
            <w:tcW w:w="805" w:type="dxa"/>
          </w:tcPr>
          <w:p w14:paraId="7C41DFFF" w14:textId="4BDA4F0C" w:rsidR="009077CA" w:rsidRPr="00671081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441C9C8E" w14:textId="77777777" w:rsidR="009077CA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 Rational functions</w:t>
            </w:r>
          </w:p>
          <w:p w14:paraId="063B2889" w14:textId="18AEDD50" w:rsidR="009077CA" w:rsidRPr="007A2EE3" w:rsidRDefault="009077CA" w:rsidP="009077CA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2.1 Vertical asymptotes p. 17</w:t>
            </w:r>
          </w:p>
        </w:tc>
        <w:tc>
          <w:tcPr>
            <w:tcW w:w="2880" w:type="dxa"/>
          </w:tcPr>
          <w:p w14:paraId="7C600146" w14:textId="77777777" w:rsidR="009077CA" w:rsidRDefault="009077CA" w:rsidP="009077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1.2 Rational functions and graphs: Sketch graphs of simple rational functions,</w:t>
            </w:r>
          </w:p>
          <w:p w14:paraId="0A1DD1B8" w14:textId="77777777" w:rsidR="009077CA" w:rsidRDefault="009077CA" w:rsidP="009077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including the determination of oblique asymptotes, in cases where the degree of the</w:t>
            </w:r>
          </w:p>
          <w:p w14:paraId="268EBCA7" w14:textId="350339EA" w:rsidR="009077CA" w:rsidRPr="00827408" w:rsidRDefault="009077CA" w:rsidP="009077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numerator and the denominator are at most 2</w:t>
            </w:r>
          </w:p>
        </w:tc>
        <w:tc>
          <w:tcPr>
            <w:tcW w:w="3780" w:type="dxa"/>
            <w:gridSpan w:val="2"/>
          </w:tcPr>
          <w:p w14:paraId="32EA6E77" w14:textId="046F3487" w:rsidR="009077CA" w:rsidRDefault="009077CA" w:rsidP="009077C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</w:t>
            </w:r>
            <w:r w:rsidR="004E643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2.3, 2.4</w:t>
            </w:r>
          </w:p>
          <w:p w14:paraId="4CE824F0" w14:textId="45DEAEBF" w:rsidR="009077CA" w:rsidRPr="00213BC9" w:rsidRDefault="009077CA" w:rsidP="009077CA">
            <w:pPr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2A 3b, 5, 7</w:t>
            </w:r>
          </w:p>
        </w:tc>
        <w:tc>
          <w:tcPr>
            <w:tcW w:w="3240" w:type="dxa"/>
            <w:gridSpan w:val="2"/>
          </w:tcPr>
          <w:p w14:paraId="3191D67C" w14:textId="77777777" w:rsidR="009077CA" w:rsidRDefault="009077CA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53C54ADA" w:rsidR="009077CA" w:rsidRPr="00213BC9" w:rsidRDefault="009077CA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9077CA" w:rsidRPr="00671081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72B22332" w14:textId="77777777" w:rsidR="0025041E" w:rsidRDefault="0025041E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25041E" w:rsidRPr="00671081" w14:paraId="4CE6CC68" w14:textId="77777777" w:rsidTr="002421DB">
        <w:tc>
          <w:tcPr>
            <w:tcW w:w="805" w:type="dxa"/>
          </w:tcPr>
          <w:p w14:paraId="44B80805" w14:textId="52B7DD50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3C213B1E" w14:textId="77777777" w:rsidR="009077CA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 Rational functions</w:t>
            </w:r>
          </w:p>
          <w:p w14:paraId="63187A9C" w14:textId="6B2F8F39" w:rsidR="0025041E" w:rsidRPr="00904837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2.2 Oblique asymptotes p. 25</w:t>
            </w:r>
          </w:p>
        </w:tc>
        <w:tc>
          <w:tcPr>
            <w:tcW w:w="2880" w:type="dxa"/>
          </w:tcPr>
          <w:p w14:paraId="2A3D501A" w14:textId="77777777" w:rsidR="009077CA" w:rsidRDefault="009077CA" w:rsidP="009077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1.2 Rational functions and graphs: Sketch graphs of simple rational functions,</w:t>
            </w:r>
          </w:p>
          <w:p w14:paraId="0D36BA02" w14:textId="77777777" w:rsidR="009077CA" w:rsidRDefault="009077CA" w:rsidP="009077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including the determination of oblique asymptotes, in cases where the degree of the</w:t>
            </w:r>
          </w:p>
          <w:p w14:paraId="3D24A7DC" w14:textId="078A99EC" w:rsidR="00904837" w:rsidRPr="00586F34" w:rsidRDefault="009077CA" w:rsidP="009077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numerator and the denominator are at most 2</w:t>
            </w:r>
          </w:p>
        </w:tc>
        <w:tc>
          <w:tcPr>
            <w:tcW w:w="3780" w:type="dxa"/>
          </w:tcPr>
          <w:p w14:paraId="2A1C0049" w14:textId="77777777" w:rsidR="00282F09" w:rsidRDefault="009077CA" w:rsidP="00E72B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x</w:t>
            </w:r>
            <w:r w:rsidRPr="009077CA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/x</w:t>
            </w:r>
          </w:p>
          <w:p w14:paraId="0F43A74C" w14:textId="77777777" w:rsidR="009077CA" w:rsidRDefault="009077CA" w:rsidP="00E72B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partial fractions</w:t>
            </w:r>
          </w:p>
          <w:p w14:paraId="0C5EC648" w14:textId="78679965" w:rsidR="009077CA" w:rsidRPr="009077CA" w:rsidRDefault="009077CA" w:rsidP="009077C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Ax+B+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Dx+E</m:t>
                    </m:r>
                  </m:den>
                </m:f>
              </m:oMath>
            </m:oMathPara>
          </w:p>
          <w:p w14:paraId="4A7563E8" w14:textId="41FB8408" w:rsidR="009077CA" w:rsidRDefault="009077CA" w:rsidP="009077C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Evaluate y = Ax + B</w:t>
            </w:r>
          </w:p>
          <w:p w14:paraId="18537B2A" w14:textId="3040CC32" w:rsidR="009077CA" w:rsidRDefault="009077CA" w:rsidP="009077C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Slope = </w:t>
            </w:r>
            <w:proofErr w:type="spellStart"/>
            <w:r>
              <w:rPr>
                <w:rFonts w:eastAsiaTheme="minorEastAsia"/>
                <w:color w:val="2E74B5" w:themeColor="accent1" w:themeShade="BF"/>
                <w:sz w:val="21"/>
              </w:rPr>
              <w:t>coef</w:t>
            </w:r>
            <w:proofErr w:type="spellEnd"/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x</w:t>
            </w:r>
            <w:r w:rsidRPr="009077CA">
              <w:rPr>
                <w:rFonts w:eastAsiaTheme="minorEastAsia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rFonts w:eastAsiaTheme="minorEastAsia"/>
                <w:color w:val="2E74B5" w:themeColor="accent1" w:themeShade="BF"/>
                <w:sz w:val="21"/>
              </w:rPr>
              <w:t>coef</w:t>
            </w:r>
            <w:proofErr w:type="spellEnd"/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x</w:t>
            </w:r>
          </w:p>
          <w:p w14:paraId="40E66924" w14:textId="7A8DD2F4" w:rsidR="009077CA" w:rsidRPr="009077CA" w:rsidRDefault="009077CA" w:rsidP="009077C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Polynomial division (not in text)</w:t>
            </w:r>
          </w:p>
          <w:p w14:paraId="4ADB854F" w14:textId="77777777" w:rsidR="009077CA" w:rsidRDefault="009077CA" w:rsidP="00E72B59">
            <w:pPr>
              <w:rPr>
                <w:color w:val="2E74B5" w:themeColor="accent1" w:themeShade="BF"/>
                <w:sz w:val="21"/>
              </w:rPr>
            </w:pPr>
          </w:p>
          <w:p w14:paraId="2AE97081" w14:textId="513F80ED" w:rsidR="009077CA" w:rsidRDefault="009077CA" w:rsidP="00E72B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Sketch graph</w:t>
            </w:r>
          </w:p>
          <w:p w14:paraId="72FBE1E1" w14:textId="5EDDCDDD" w:rsidR="009077CA" w:rsidRPr="007A7091" w:rsidRDefault="009077CA" w:rsidP="007A709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ID v/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asym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obl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asym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intercepts, check </w:t>
            </w:r>
            <w:r w:rsidR="007A709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behavior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both sides of </w:t>
            </w:r>
            <w:r w:rsidR="007A709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both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asym</w:t>
            </w:r>
            <w:proofErr w:type="spellEnd"/>
            <w:r w:rsidR="007A709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find y on curve and on asymptote (y’ = 0/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turning points</w:t>
            </w:r>
          </w:p>
          <w:p w14:paraId="588DCF1E" w14:textId="374A0AF1" w:rsidR="009077CA" w:rsidRDefault="009077CA" w:rsidP="00E72B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</w:t>
            </w:r>
            <w:r w:rsidRPr="004E6430">
              <w:rPr>
                <w:color w:val="2E74B5" w:themeColor="accent1" w:themeShade="BF"/>
                <w:sz w:val="21"/>
              </w:rPr>
              <w:t>2.5</w:t>
            </w:r>
          </w:p>
          <w:p w14:paraId="4248800F" w14:textId="086B17C8" w:rsidR="009077CA" w:rsidRPr="00E72B59" w:rsidRDefault="007A7091" w:rsidP="007A70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2B 1, 2</w:t>
            </w:r>
          </w:p>
        </w:tc>
        <w:tc>
          <w:tcPr>
            <w:tcW w:w="3240" w:type="dxa"/>
          </w:tcPr>
          <w:p w14:paraId="7FFCEBBD" w14:textId="77777777" w:rsidR="003D5997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7FA36D3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45161704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7B7DD089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24B6210A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7A1E4D7A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778F4125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4DC32426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524E9B72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2CAE55DB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37208C8C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</w:p>
          <w:p w14:paraId="40B0EABE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  <w:bookmarkStart w:id="0" w:name="_GoBack"/>
            <w:bookmarkEnd w:id="0"/>
          </w:p>
          <w:p w14:paraId="5E2A4A12" w14:textId="77777777" w:rsidR="007A7091" w:rsidRPr="007A7091" w:rsidRDefault="007A7091" w:rsidP="0025041E">
            <w:pPr>
              <w:rPr>
                <w:iCs/>
                <w:color w:val="2E74B5" w:themeColor="accent1" w:themeShade="BF"/>
                <w:sz w:val="16"/>
              </w:rPr>
            </w:pPr>
          </w:p>
          <w:p w14:paraId="17688695" w14:textId="77777777" w:rsidR="007A7091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32876EB8" w:rsidR="007A7091" w:rsidRPr="009077CA" w:rsidRDefault="007A7091" w:rsidP="0025041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25041E" w:rsidRPr="00671081" w:rsidRDefault="0025041E" w:rsidP="0025041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9077CA" w:rsidRPr="00492C23" w14:paraId="6D73044A" w14:textId="77777777" w:rsidTr="002421DB">
        <w:tc>
          <w:tcPr>
            <w:tcW w:w="805" w:type="dxa"/>
          </w:tcPr>
          <w:p w14:paraId="257A934F" w14:textId="1FFFC724" w:rsidR="009077CA" w:rsidRPr="00671081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19A8CA04" w14:textId="77777777" w:rsidR="009077CA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 Rational functions</w:t>
            </w:r>
          </w:p>
          <w:p w14:paraId="6A71FE49" w14:textId="7B5AB5BE" w:rsidR="009077CA" w:rsidRPr="007A2EE3" w:rsidRDefault="009077CA" w:rsidP="009077CA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2.2 Oblique asymptotes p. 25</w:t>
            </w:r>
          </w:p>
        </w:tc>
        <w:tc>
          <w:tcPr>
            <w:tcW w:w="2880" w:type="dxa"/>
          </w:tcPr>
          <w:p w14:paraId="7FC73FDD" w14:textId="77777777" w:rsidR="009077CA" w:rsidRDefault="009077CA" w:rsidP="009077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Topic 1.2 Rational functions and graphs: Sketch graphs of simple rational functions,</w:t>
            </w:r>
          </w:p>
          <w:p w14:paraId="19E9F893" w14:textId="77777777" w:rsidR="009077CA" w:rsidRDefault="009077CA" w:rsidP="009077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including the determination of oblique asymptotes, in cases where the degree of the</w:t>
            </w:r>
          </w:p>
          <w:p w14:paraId="32352663" w14:textId="3FF1D979" w:rsidR="009077CA" w:rsidRPr="00912C9A" w:rsidRDefault="009077CA" w:rsidP="009077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numerator and the denominator are at most 2</w:t>
            </w:r>
          </w:p>
        </w:tc>
        <w:tc>
          <w:tcPr>
            <w:tcW w:w="3780" w:type="dxa"/>
          </w:tcPr>
          <w:p w14:paraId="12B7712E" w14:textId="1DD36429" w:rsidR="007A7091" w:rsidRDefault="007A7091" w:rsidP="007A70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</w:t>
            </w:r>
            <w:r w:rsidR="004E643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2.6, 2.7</w:t>
            </w:r>
          </w:p>
          <w:p w14:paraId="3CE2E329" w14:textId="4CE5C9B1" w:rsidR="007A7091" w:rsidRDefault="007A7091" w:rsidP="007A709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2B 4, 7</w:t>
            </w:r>
          </w:p>
          <w:p w14:paraId="3C0E8513" w14:textId="754D3AED" w:rsidR="009077CA" w:rsidRPr="00213BC9" w:rsidRDefault="009077CA" w:rsidP="007A7091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</w:tcPr>
          <w:p w14:paraId="51B62AA5" w14:textId="77777777" w:rsidR="009077CA" w:rsidRDefault="004E6430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0A2D02FB" w:rsidR="004E6430" w:rsidRPr="00213BC9" w:rsidRDefault="004E6430" w:rsidP="009077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9077CA" w:rsidRPr="00E4361B" w:rsidRDefault="009077CA" w:rsidP="009077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5041E" w14:paraId="71816EC0" w14:textId="77777777" w:rsidTr="00D514A9">
        <w:tc>
          <w:tcPr>
            <w:tcW w:w="14390" w:type="dxa"/>
            <w:gridSpan w:val="6"/>
          </w:tcPr>
          <w:p w14:paraId="31C07641" w14:textId="548EED28" w:rsidR="0025041E" w:rsidRPr="007A2EE3" w:rsidRDefault="0025041E" w:rsidP="0025041E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25041E" w:rsidRPr="007A2EE3" w:rsidRDefault="0025041E" w:rsidP="0025041E">
            <w:pPr>
              <w:rPr>
                <w:sz w:val="20"/>
              </w:rPr>
            </w:pPr>
          </w:p>
          <w:p w14:paraId="7ECF4B1C" w14:textId="77777777" w:rsidR="0025041E" w:rsidRPr="007A2EE3" w:rsidRDefault="0025041E" w:rsidP="0025041E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0450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E6430"/>
    <w:rsid w:val="004F08D5"/>
    <w:rsid w:val="00515F65"/>
    <w:rsid w:val="00586F34"/>
    <w:rsid w:val="005973FB"/>
    <w:rsid w:val="005A6CE6"/>
    <w:rsid w:val="005B55E6"/>
    <w:rsid w:val="005B6E92"/>
    <w:rsid w:val="005C0DE2"/>
    <w:rsid w:val="005D42DD"/>
    <w:rsid w:val="005D7538"/>
    <w:rsid w:val="005F58E0"/>
    <w:rsid w:val="00634CE6"/>
    <w:rsid w:val="00671081"/>
    <w:rsid w:val="00685E44"/>
    <w:rsid w:val="006D5AFB"/>
    <w:rsid w:val="006F66F0"/>
    <w:rsid w:val="00751A39"/>
    <w:rsid w:val="00766B9D"/>
    <w:rsid w:val="0078426F"/>
    <w:rsid w:val="0079473B"/>
    <w:rsid w:val="007A2EE3"/>
    <w:rsid w:val="007A7091"/>
    <w:rsid w:val="007C086F"/>
    <w:rsid w:val="007D5F2E"/>
    <w:rsid w:val="00804EEA"/>
    <w:rsid w:val="00827408"/>
    <w:rsid w:val="0084468A"/>
    <w:rsid w:val="00851A4C"/>
    <w:rsid w:val="008801CD"/>
    <w:rsid w:val="008901C8"/>
    <w:rsid w:val="008F6398"/>
    <w:rsid w:val="00904837"/>
    <w:rsid w:val="009077CA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74186"/>
    <w:rsid w:val="00B85215"/>
    <w:rsid w:val="00B903F6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F1F0B"/>
    <w:rsid w:val="00D514A9"/>
    <w:rsid w:val="00D6482C"/>
    <w:rsid w:val="00D67C16"/>
    <w:rsid w:val="00DA459B"/>
    <w:rsid w:val="00DC5F3E"/>
    <w:rsid w:val="00DC69DB"/>
    <w:rsid w:val="00DD0901"/>
    <w:rsid w:val="00DD19F6"/>
    <w:rsid w:val="00DD5FED"/>
    <w:rsid w:val="00DF0DFF"/>
    <w:rsid w:val="00E05D51"/>
    <w:rsid w:val="00E0677D"/>
    <w:rsid w:val="00E13357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A6D6-1044-4AA3-A54A-26211F51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4</cp:revision>
  <cp:lastPrinted>2019-07-05T07:41:00Z</cp:lastPrinted>
  <dcterms:created xsi:type="dcterms:W3CDTF">2020-08-22T09:23:00Z</dcterms:created>
  <dcterms:modified xsi:type="dcterms:W3CDTF">2020-08-22T10:44:00Z</dcterms:modified>
</cp:coreProperties>
</file>