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AD6C7F" w:rsidRDefault="0005647C">
            <w:pPr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AD6C7F" w:rsidRDefault="003F30CC" w:rsidP="00043ED7">
            <w:pPr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AD6C7F" w:rsidRDefault="0005647C">
            <w:pPr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AD6C7F" w:rsidRDefault="003A037B" w:rsidP="00BA4594">
            <w:pPr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13</w:t>
            </w:r>
            <w:r w:rsidR="009F12F3" w:rsidRPr="00AD6C7F">
              <w:rPr>
                <w:sz w:val="24"/>
                <w:szCs w:val="24"/>
              </w:rPr>
              <w:t>/</w:t>
            </w:r>
            <w:r w:rsidR="00E0677D" w:rsidRPr="00AD6C7F">
              <w:rPr>
                <w:sz w:val="24"/>
                <w:szCs w:val="24"/>
              </w:rPr>
              <w:t xml:space="preserve">9231 Further </w:t>
            </w:r>
            <w:r w:rsidR="00BA4594" w:rsidRPr="00AD6C7F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AD6C7F" w:rsidRDefault="0005647C" w:rsidP="0005647C">
            <w:pPr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AD6C7F" w:rsidRDefault="00BA4594" w:rsidP="00766B9D">
            <w:pPr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AD6C7F" w:rsidRDefault="0005647C" w:rsidP="006D5AFB">
            <w:pPr>
              <w:jc w:val="center"/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Week:</w:t>
            </w:r>
          </w:p>
          <w:p w14:paraId="475A63ED" w14:textId="206E40F1" w:rsidR="006D5AFB" w:rsidRPr="00AD6C7F" w:rsidRDefault="00386DA7" w:rsidP="006D5AFB">
            <w:pPr>
              <w:jc w:val="center"/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14:paraId="71B862B9" w14:textId="77777777" w:rsidR="0005647C" w:rsidRPr="00AD6C7F" w:rsidRDefault="0005647C" w:rsidP="006D5AFB">
            <w:pPr>
              <w:jc w:val="center"/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</w:rPr>
              <w:t>Term:</w:t>
            </w:r>
          </w:p>
          <w:p w14:paraId="49B03510" w14:textId="63A1A36F" w:rsidR="006D5AFB" w:rsidRPr="00AD6C7F" w:rsidRDefault="00BA4594" w:rsidP="006D5AFB">
            <w:pPr>
              <w:jc w:val="center"/>
              <w:rPr>
                <w:sz w:val="24"/>
                <w:szCs w:val="24"/>
              </w:rPr>
            </w:pPr>
            <w:r w:rsidRPr="00AD6C7F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Pr="00AD6C7F" w:rsidRDefault="001B7A3A">
            <w:r w:rsidRPr="00AD6C7F">
              <w:t>Notes:</w:t>
            </w:r>
          </w:p>
          <w:p w14:paraId="3E9B8E62" w14:textId="77777777" w:rsidR="001B7A3A" w:rsidRPr="00AD6C7F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AD6C7F" w:rsidRDefault="00B74186" w:rsidP="00B74186">
            <w:pPr>
              <w:jc w:val="center"/>
              <w:rPr>
                <w:b/>
              </w:rPr>
            </w:pPr>
            <w:r w:rsidRPr="00AD6C7F">
              <w:rPr>
                <w:b/>
              </w:rPr>
              <w:t>Day, P</w:t>
            </w:r>
          </w:p>
          <w:p w14:paraId="0B015AA0" w14:textId="77777777" w:rsidR="00B74186" w:rsidRPr="00AD6C7F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AD6C7F" w:rsidRDefault="00B74186" w:rsidP="00B74186">
            <w:pPr>
              <w:rPr>
                <w:b/>
              </w:rPr>
            </w:pPr>
            <w:r w:rsidRPr="00AD6C7F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AD6C7F" w:rsidRDefault="00B74186" w:rsidP="00E9107E">
            <w:pPr>
              <w:rPr>
                <w:b/>
              </w:rPr>
            </w:pPr>
            <w:r w:rsidRPr="00AD6C7F">
              <w:rPr>
                <w:b/>
              </w:rPr>
              <w:t>Learning Objectives</w:t>
            </w:r>
            <w:r w:rsidR="005973FB" w:rsidRPr="00AD6C7F">
              <w:rPr>
                <w:b/>
              </w:rPr>
              <w:t xml:space="preserve"> </w:t>
            </w:r>
          </w:p>
          <w:p w14:paraId="42D4FFAA" w14:textId="77777777" w:rsidR="00B74186" w:rsidRPr="00AD6C7F" w:rsidRDefault="00B74186" w:rsidP="00E9107E">
            <w:pPr>
              <w:rPr>
                <w:i/>
              </w:rPr>
            </w:pPr>
            <w:r w:rsidRPr="00AD6C7F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AD6C7F" w:rsidRDefault="00B74186">
            <w:pPr>
              <w:rPr>
                <w:b/>
              </w:rPr>
            </w:pPr>
            <w:r w:rsidRPr="00AD6C7F">
              <w:rPr>
                <w:b/>
              </w:rPr>
              <w:t>Activities &amp; Differentiation</w:t>
            </w:r>
          </w:p>
          <w:p w14:paraId="20B0967A" w14:textId="77777777" w:rsidR="0005647C" w:rsidRPr="00AD6C7F" w:rsidRDefault="0005647C" w:rsidP="0005647C">
            <w:r w:rsidRPr="00AD6C7F">
              <w:rPr>
                <w:b/>
              </w:rPr>
              <w:t>I</w:t>
            </w:r>
            <w:r w:rsidRPr="00AD6C7F">
              <w:t xml:space="preserve">ndep’t, </w:t>
            </w:r>
            <w:r w:rsidRPr="00AD6C7F">
              <w:rPr>
                <w:b/>
              </w:rPr>
              <w:t>P</w:t>
            </w:r>
            <w:r w:rsidRPr="00AD6C7F">
              <w:t xml:space="preserve">air, </w:t>
            </w:r>
            <w:r w:rsidRPr="00AD6C7F">
              <w:rPr>
                <w:b/>
              </w:rPr>
              <w:t>G</w:t>
            </w:r>
            <w:r w:rsidRPr="00AD6C7F">
              <w:t xml:space="preserve">roup, </w:t>
            </w:r>
            <w:r w:rsidRPr="00AD6C7F">
              <w:rPr>
                <w:b/>
              </w:rPr>
              <w:t>W</w:t>
            </w:r>
            <w:r w:rsidRPr="00AD6C7F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AD6C7F" w:rsidRDefault="00B74186" w:rsidP="00E9107E">
            <w:pPr>
              <w:rPr>
                <w:b/>
              </w:rPr>
            </w:pPr>
            <w:r w:rsidRPr="00AD6C7F">
              <w:rPr>
                <w:b/>
              </w:rPr>
              <w:t xml:space="preserve"> Evidence/Assessment</w:t>
            </w:r>
            <w:r w:rsidR="005973FB" w:rsidRPr="00AD6C7F">
              <w:rPr>
                <w:b/>
              </w:rPr>
              <w:t xml:space="preserve"> &amp; Hwk</w:t>
            </w:r>
          </w:p>
          <w:p w14:paraId="01B38B70" w14:textId="77777777" w:rsidR="00B74186" w:rsidRPr="00AD6C7F" w:rsidRDefault="00B74186" w:rsidP="0005647C">
            <w:r w:rsidRPr="00AD6C7F">
              <w:rPr>
                <w:b/>
              </w:rPr>
              <w:t>QA</w:t>
            </w:r>
            <w:r w:rsidRPr="00AD6C7F">
              <w:t xml:space="preserve">, </w:t>
            </w:r>
            <w:r w:rsidRPr="00AD6C7F">
              <w:rPr>
                <w:b/>
              </w:rPr>
              <w:t>D</w:t>
            </w:r>
            <w:r w:rsidR="0005647C" w:rsidRPr="00AD6C7F">
              <w:t>isc’n</w:t>
            </w:r>
            <w:r w:rsidRPr="00AD6C7F">
              <w:t xml:space="preserve">, </w:t>
            </w:r>
            <w:r w:rsidRPr="00AD6C7F">
              <w:rPr>
                <w:b/>
              </w:rPr>
              <w:t>O</w:t>
            </w:r>
            <w:r w:rsidR="0005647C" w:rsidRPr="00AD6C7F">
              <w:t>bs</w:t>
            </w:r>
            <w:r w:rsidRPr="00AD6C7F">
              <w:t xml:space="preserve">, </w:t>
            </w:r>
            <w:r w:rsidRPr="00AD6C7F">
              <w:rPr>
                <w:b/>
              </w:rPr>
              <w:t>P</w:t>
            </w:r>
            <w:r w:rsidR="0005647C" w:rsidRPr="00AD6C7F">
              <w:t>air/</w:t>
            </w:r>
            <w:r w:rsidRPr="00AD6C7F">
              <w:rPr>
                <w:b/>
              </w:rPr>
              <w:t>S</w:t>
            </w:r>
            <w:r w:rsidR="0005647C" w:rsidRPr="00AD6C7F">
              <w:t>elf</w:t>
            </w:r>
            <w:r w:rsidRPr="00AD6C7F">
              <w:t xml:space="preserve">, </w:t>
            </w:r>
            <w:r w:rsidRPr="00AD6C7F">
              <w:rPr>
                <w:b/>
              </w:rPr>
              <w:t>M</w:t>
            </w:r>
            <w:r w:rsidR="0005647C" w:rsidRPr="00AD6C7F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AD6C7F" w:rsidRDefault="00B74186" w:rsidP="00E9107E">
            <w:pPr>
              <w:rPr>
                <w:b/>
              </w:rPr>
            </w:pPr>
            <w:r w:rsidRPr="00AD6C7F">
              <w:rPr>
                <w:b/>
              </w:rPr>
              <w:t>Materials &amp;</w:t>
            </w:r>
          </w:p>
          <w:p w14:paraId="702110E6" w14:textId="77777777" w:rsidR="00B74186" w:rsidRPr="00AD6C7F" w:rsidRDefault="00B74186" w:rsidP="00E9107E">
            <w:pPr>
              <w:rPr>
                <w:b/>
              </w:rPr>
            </w:pPr>
            <w:r w:rsidRPr="00AD6C7F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5C512B" w:rsidR="000431E9" w:rsidRPr="00AD6C7F" w:rsidRDefault="000431E9" w:rsidP="000431E9">
            <w:pPr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1</w:t>
            </w:r>
            <w:r w:rsidR="00FB7892" w:rsidRPr="00AD6C7F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7B4ECB1E" w14:textId="77777777" w:rsidR="000431E9" w:rsidRPr="00AD6C7F" w:rsidRDefault="00BA6BBC" w:rsidP="000431E9">
            <w:pPr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Ch. 14 Equilibrium of a rigid body</w:t>
            </w:r>
          </w:p>
          <w:p w14:paraId="39AAF269" w14:textId="4EE95E39" w:rsidR="00BA6BBC" w:rsidRPr="00AD6C7F" w:rsidRDefault="00BA6BBC" w:rsidP="004024CE">
            <w:pPr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14.</w:t>
            </w:r>
            <w:r w:rsidR="004024CE" w:rsidRPr="00AD6C7F">
              <w:rPr>
                <w:color w:val="2E74B5" w:themeColor="accent1" w:themeShade="BF"/>
              </w:rPr>
              <w:t>3 Centers of mass of solids p. 336</w:t>
            </w:r>
          </w:p>
        </w:tc>
        <w:tc>
          <w:tcPr>
            <w:tcW w:w="2880" w:type="dxa"/>
          </w:tcPr>
          <w:p w14:paraId="1AA03636" w14:textId="13F8711C" w:rsidR="00BA6BBC" w:rsidRPr="00AD6C7F" w:rsidRDefault="000431E9" w:rsidP="00AD6C7F">
            <w:pPr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 xml:space="preserve">Topic </w:t>
            </w:r>
            <w:r w:rsidR="00BA6BBC" w:rsidRPr="00AD6C7F">
              <w:rPr>
                <w:color w:val="2E74B5" w:themeColor="accent1" w:themeShade="BF"/>
              </w:rPr>
              <w:t>3.2</w:t>
            </w:r>
            <w:r w:rsidRPr="00AD6C7F">
              <w:rPr>
                <w:color w:val="2E74B5" w:themeColor="accent1" w:themeShade="BF"/>
              </w:rPr>
              <w:t xml:space="preserve"> </w:t>
            </w:r>
            <w:r w:rsidR="00BA6BBC" w:rsidRPr="00AD6C7F">
              <w:rPr>
                <w:color w:val="2E74B5" w:themeColor="accent1" w:themeShade="BF"/>
              </w:rPr>
              <w:t>Equilibrium of a rigid body</w:t>
            </w:r>
            <w:r w:rsidRPr="00AD6C7F">
              <w:rPr>
                <w:color w:val="2E74B5" w:themeColor="accent1" w:themeShade="BF"/>
              </w:rPr>
              <w:t xml:space="preserve">: </w:t>
            </w:r>
            <w:r w:rsidR="00AD6C7F">
              <w:rPr>
                <w:color w:val="2E74B5" w:themeColor="accent1" w:themeShade="BF"/>
              </w:rPr>
              <w:t>C</w:t>
            </w:r>
            <w:r w:rsidR="00BA6BBC" w:rsidRPr="00AD6C7F">
              <w:rPr>
                <w:color w:val="2E74B5" w:themeColor="accent1" w:themeShade="BF"/>
              </w:rPr>
              <w:t>alculate the moment of a force about a point</w:t>
            </w:r>
            <w:r w:rsidR="00F6578D">
              <w:rPr>
                <w:color w:val="2E74B5" w:themeColor="accent1" w:themeShade="BF"/>
              </w:rPr>
              <w:t>;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="00BA6BBC" w:rsidRPr="00AD6C7F">
              <w:rPr>
                <w:color w:val="2E74B5" w:themeColor="accent1" w:themeShade="BF"/>
              </w:rPr>
              <w:t>use the result that the effect of gravity on a rigid</w:t>
            </w:r>
          </w:p>
          <w:p w14:paraId="37B4AA5B" w14:textId="5B3D568B" w:rsidR="00BA6BBC" w:rsidRPr="00AD6C7F" w:rsidRDefault="00BA6BBC" w:rsidP="00AD6C7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body is equivalent to a single force acting at</w:t>
            </w:r>
            <w:r w:rsidR="00AD6C7F">
              <w:rPr>
                <w:color w:val="2E74B5" w:themeColor="accent1" w:themeShade="BF"/>
              </w:rPr>
              <w:t xml:space="preserve"> t</w:t>
            </w:r>
            <w:r w:rsidRPr="00AD6C7F">
              <w:rPr>
                <w:color w:val="2E74B5" w:themeColor="accent1" w:themeShade="BF"/>
              </w:rPr>
              <w:t>he centre of mass of the body, and identify the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position of the centre of mass of a uniform body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using considerations of symmetry</w:t>
            </w:r>
            <w:r w:rsidR="00F6578D">
              <w:rPr>
                <w:color w:val="2E74B5" w:themeColor="accent1" w:themeShade="BF"/>
              </w:rPr>
              <w:t>;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use given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information about the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position of the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centre of mass of a triangular lamina and other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simple shapes</w:t>
            </w:r>
            <w:r w:rsidR="00F6578D">
              <w:rPr>
                <w:color w:val="2E74B5" w:themeColor="accent1" w:themeShade="BF"/>
              </w:rPr>
              <w:t>;</w:t>
            </w:r>
          </w:p>
          <w:p w14:paraId="6E918FF2" w14:textId="21F620F2" w:rsidR="00BA6BBC" w:rsidRPr="00AD6C7F" w:rsidRDefault="00BA6BBC" w:rsidP="00F6578D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determine the position of the centre of mass of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a</w:t>
            </w:r>
            <w:r w:rsidR="00F6578D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composite body by</w:t>
            </w:r>
            <w:r w:rsidR="00F6578D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considering an equivalent</w:t>
            </w:r>
          </w:p>
          <w:p w14:paraId="6E228A79" w14:textId="34CFB965" w:rsidR="00BA6BBC" w:rsidRPr="00AD6C7F" w:rsidRDefault="00BA6BBC" w:rsidP="00F6578D">
            <w:pPr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system of particles</w:t>
            </w:r>
            <w:r w:rsidR="00F6578D">
              <w:rPr>
                <w:color w:val="2E74B5" w:themeColor="accent1" w:themeShade="BF"/>
              </w:rPr>
              <w:t xml:space="preserve">; </w:t>
            </w:r>
            <w:r w:rsidRPr="00AD6C7F">
              <w:rPr>
                <w:color w:val="2E74B5" w:themeColor="accent1" w:themeShade="BF"/>
              </w:rPr>
              <w:t>use the principle that if a rigid body is in</w:t>
            </w:r>
            <w:r w:rsidR="00F6578D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equilibrium under the</w:t>
            </w:r>
            <w:r w:rsidR="00F6578D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action of coplanar forces</w:t>
            </w:r>
            <w:r w:rsidR="00F6578D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then the vector sum of the forces is zero and the</w:t>
            </w:r>
            <w:r w:rsidR="00F6578D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sum of the moments of the forces about any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point is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zero, and the converse of this</w:t>
            </w:r>
            <w:r w:rsidR="00F6578D">
              <w:rPr>
                <w:color w:val="2E74B5" w:themeColor="accent1" w:themeShade="BF"/>
              </w:rPr>
              <w:t>;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solve problems involving the equilibrium of a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 xml:space="preserve">single rigid </w:t>
            </w:r>
            <w:r w:rsidRPr="00AD6C7F">
              <w:rPr>
                <w:color w:val="2E74B5" w:themeColor="accent1" w:themeShade="BF"/>
              </w:rPr>
              <w:lastRenderedPageBreak/>
              <w:t>body under the action of coplanar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forces, including those involving toppling or</w:t>
            </w:r>
            <w:r w:rsidR="00AD6C7F">
              <w:rPr>
                <w:color w:val="2E74B5" w:themeColor="accent1" w:themeShade="BF"/>
              </w:rPr>
              <w:t xml:space="preserve"> </w:t>
            </w:r>
            <w:r w:rsidRPr="00AD6C7F">
              <w:rPr>
                <w:color w:val="2E74B5" w:themeColor="accent1" w:themeShade="BF"/>
              </w:rPr>
              <w:t>sliding.</w:t>
            </w:r>
          </w:p>
        </w:tc>
        <w:tc>
          <w:tcPr>
            <w:tcW w:w="3780" w:type="dxa"/>
            <w:gridSpan w:val="2"/>
          </w:tcPr>
          <w:p w14:paraId="1DE7C8FC" w14:textId="47049B69" w:rsidR="004544A0" w:rsidRPr="00AD6C7F" w:rsidRDefault="004544A0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lastRenderedPageBreak/>
              <w:t>Cone: bar x = ¾h</w:t>
            </w:r>
          </w:p>
          <w:p w14:paraId="5155B000" w14:textId="7507D774" w:rsidR="004544A0" w:rsidRPr="00AD6C7F" w:rsidRDefault="004024CE" w:rsidP="004544A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14.11</w:t>
            </w:r>
            <w:r w:rsidR="004544A0"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frustum, use subtraction for center from vertex; requested distance is from one of the faces (varies per scenario)</w:t>
            </w:r>
          </w:p>
          <w:p w14:paraId="024C1760" w14:textId="77777777" w:rsidR="004544A0" w:rsidRPr="00AD6C7F" w:rsidRDefault="004544A0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74B28CA1" w14:textId="0CF09A49" w:rsidR="004024CE" w:rsidRPr="00AD6C7F" w:rsidRDefault="004024CE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14.12</w:t>
            </w:r>
            <w:r w:rsidR="004544A0"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subtract individual centers (9/4 a for small cone = 3a x ¾); opposite face is start point for distances and for requirement, no adjustment, but other questions might ask for distance from other point</w:t>
            </w:r>
          </w:p>
          <w:p w14:paraId="260B0E88" w14:textId="4C62E1A7" w:rsidR="004024CE" w:rsidRPr="00AD6C7F" w:rsidRDefault="004024CE" w:rsidP="004024C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14C 2</w:t>
            </w:r>
            <w:r w:rsidR="00FB7892"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find distance from… where?</w:t>
            </w:r>
          </w:p>
          <w:p w14:paraId="10F44EBA" w14:textId="77777777" w:rsidR="00FB7892" w:rsidRPr="00AD6C7F" w:rsidRDefault="00FB7892" w:rsidP="004024C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0877AA8C" w14:textId="26F6C825" w:rsidR="00FB7892" w:rsidRPr="00AD6C7F" w:rsidRDefault="00FB7892" w:rsidP="004024C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Hemisphere: bar x = 3/8 r</w:t>
            </w:r>
          </w:p>
          <w:p w14:paraId="05E6F6EA" w14:textId="77777777" w:rsidR="00FB7892" w:rsidRPr="00AD6C7F" w:rsidRDefault="00FB7892" w:rsidP="004024C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25652445" w14:textId="6CD3FF87" w:rsidR="004024CE" w:rsidRPr="00AD6C7F" w:rsidRDefault="004024CE" w:rsidP="00FB789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14.13</w:t>
            </w:r>
            <w:r w:rsidR="00FB7892"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densities differ, moments and required distance both from “opposite end", no adjustment required</w:t>
            </w:r>
          </w:p>
          <w:p w14:paraId="3E27261D" w14:textId="46DED3C8" w:rsidR="004024CE" w:rsidRPr="00AD6C7F" w:rsidRDefault="004024CE" w:rsidP="004024C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D6C7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14C 1, 7, 8</w:t>
            </w:r>
          </w:p>
        </w:tc>
        <w:tc>
          <w:tcPr>
            <w:tcW w:w="3240" w:type="dxa"/>
            <w:gridSpan w:val="2"/>
          </w:tcPr>
          <w:p w14:paraId="7EEDFE93" w14:textId="72E90D17" w:rsidR="000431E9" w:rsidRPr="00AD6C7F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AD6C7F" w:rsidRDefault="000431E9" w:rsidP="000431E9">
            <w:pPr>
              <w:rPr>
                <w:color w:val="2E74B5" w:themeColor="accent1" w:themeShade="BF"/>
              </w:rPr>
            </w:pPr>
            <w:r w:rsidRPr="00AD6C7F"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2421DB">
        <w:tc>
          <w:tcPr>
            <w:tcW w:w="805" w:type="dxa"/>
          </w:tcPr>
          <w:p w14:paraId="7C41DFFF" w14:textId="49A2B5D6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4CE6CC68" w14:textId="77777777" w:rsidTr="002421DB">
        <w:tc>
          <w:tcPr>
            <w:tcW w:w="805" w:type="dxa"/>
          </w:tcPr>
          <w:p w14:paraId="44B80805" w14:textId="0226BD12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FB7892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46A92A7B" w14:textId="77777777" w:rsidR="00BA6BBC" w:rsidRDefault="00BA6BBC" w:rsidP="00BA6BB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14 Equilibrium of a rigid body</w:t>
            </w:r>
          </w:p>
          <w:p w14:paraId="63187A9C" w14:textId="743A4C82" w:rsidR="000431E9" w:rsidRPr="007A2EE3" w:rsidRDefault="00BA6BBC" w:rsidP="004024C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14.</w:t>
            </w:r>
            <w:r w:rsidR="004024CE">
              <w:rPr>
                <w:color w:val="2E74B5" w:themeColor="accent1" w:themeShade="BF"/>
              </w:rPr>
              <w:t>4 Objects in equilibrium p. 341</w:t>
            </w:r>
          </w:p>
        </w:tc>
        <w:tc>
          <w:tcPr>
            <w:tcW w:w="2880" w:type="dxa"/>
          </w:tcPr>
          <w:p w14:paraId="3D24A7DC" w14:textId="5157ED73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044A0ED0" w14:textId="258627D3" w:rsidR="00FB7892" w:rsidRDefault="00FB7892" w:rsidP="00BA6BB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Equilibrium </w:t>
            </w:r>
            <w:r w:rsidRPr="00FB7892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26B289A5" w14:textId="1F8128F0" w:rsidR="00FB7892" w:rsidRDefault="00FB7892" w:rsidP="00FB789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Resolve horizontally</w:t>
            </w:r>
          </w:p>
          <w:p w14:paraId="6C330FD0" w14:textId="390C3776" w:rsidR="00FB7892" w:rsidRDefault="00FB7892" w:rsidP="00FB789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Resolve vertically</w:t>
            </w:r>
          </w:p>
          <w:p w14:paraId="24B86D28" w14:textId="55F86E66" w:rsidR="00FB7892" w:rsidRDefault="00FB7892" w:rsidP="00FB789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Moments and algebra</w:t>
            </w:r>
          </w:p>
          <w:p w14:paraId="36B024BC" w14:textId="106E783B" w:rsidR="00FB7892" w:rsidRPr="00FB7892" w:rsidRDefault="00FB7892" w:rsidP="00FB789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F&lt;=</w:t>
            </w:r>
            <w:proofErr w:type="spellStart"/>
            <w:r>
              <w:rPr>
                <w:color w:val="2E74B5" w:themeColor="accent1" w:themeShade="BF"/>
                <w:sz w:val="21"/>
              </w:rPr>
              <w:t>mR</w:t>
            </w:r>
            <w:proofErr w:type="spellEnd"/>
          </w:p>
          <w:p w14:paraId="5DAA9B25" w14:textId="0762929F" w:rsidR="00BA6BBC" w:rsidRPr="00FD03A8" w:rsidRDefault="004024CE" w:rsidP="00BA6BBC">
            <w:pPr>
              <w:rPr>
                <w:color w:val="2E74B5" w:themeColor="accent1" w:themeShade="BF"/>
                <w:sz w:val="21"/>
                <w:highlight w:val="yellow"/>
              </w:rPr>
            </w:pPr>
            <w:r w:rsidRPr="00A03A5A">
              <w:rPr>
                <w:color w:val="2E74B5" w:themeColor="accent1" w:themeShade="BF"/>
                <w:sz w:val="21"/>
              </w:rPr>
              <w:t>Ex 14.15</w:t>
            </w:r>
            <w:r w:rsidR="00FD03A8" w:rsidRPr="00A03A5A">
              <w:rPr>
                <w:color w:val="2E74B5" w:themeColor="accent1" w:themeShade="BF"/>
                <w:sz w:val="21"/>
              </w:rPr>
              <w:t xml:space="preserve"> </w:t>
            </w:r>
            <w:r w:rsidR="00FD03A8" w:rsidRPr="00FD03A8">
              <w:rPr>
                <w:color w:val="2E74B5" w:themeColor="accent1" w:themeShade="BF"/>
                <w:sz w:val="21"/>
                <w:highlight w:val="yellow"/>
              </w:rPr>
              <w:t>(</w:t>
            </w:r>
            <w:r w:rsidR="00A03A5A">
              <w:rPr>
                <w:color w:val="2E74B5" w:themeColor="accent1" w:themeShade="BF"/>
                <w:sz w:val="21"/>
                <w:highlight w:val="yellow"/>
              </w:rPr>
              <w:t xml:space="preserve">work </w:t>
            </w:r>
            <w:r w:rsidR="00FD03A8" w:rsidRPr="00FD03A8">
              <w:rPr>
                <w:color w:val="2E74B5" w:themeColor="accent1" w:themeShade="BF"/>
                <w:sz w:val="21"/>
                <w:highlight w:val="yellow"/>
              </w:rPr>
              <w:t>to come)</w:t>
            </w:r>
          </w:p>
          <w:p w14:paraId="52184974" w14:textId="30A86FA8" w:rsidR="004024CE" w:rsidRPr="00A03A5A" w:rsidRDefault="004024CE" w:rsidP="00BA6BBC">
            <w:pPr>
              <w:rPr>
                <w:color w:val="2E74B5" w:themeColor="accent1" w:themeShade="BF"/>
                <w:sz w:val="21"/>
              </w:rPr>
            </w:pPr>
            <w:r w:rsidRPr="00A03A5A">
              <w:rPr>
                <w:color w:val="2E74B5" w:themeColor="accent1" w:themeShade="BF"/>
                <w:sz w:val="21"/>
              </w:rPr>
              <w:t>14D 3</w:t>
            </w:r>
          </w:p>
          <w:p w14:paraId="7725E32A" w14:textId="77777777" w:rsidR="003D7C3A" w:rsidRPr="00FD03A8" w:rsidRDefault="003D7C3A" w:rsidP="00BA6BBC">
            <w:pPr>
              <w:rPr>
                <w:color w:val="2E74B5" w:themeColor="accent1" w:themeShade="BF"/>
                <w:sz w:val="21"/>
                <w:highlight w:val="yellow"/>
              </w:rPr>
            </w:pPr>
          </w:p>
          <w:p w14:paraId="49CBD55E" w14:textId="48D0585F" w:rsidR="004024CE" w:rsidRPr="00FD03A8" w:rsidRDefault="004024CE" w:rsidP="003D7C3A">
            <w:pPr>
              <w:rPr>
                <w:color w:val="2E74B5" w:themeColor="accent1" w:themeShade="BF"/>
                <w:sz w:val="21"/>
                <w:highlight w:val="yellow"/>
              </w:rPr>
            </w:pPr>
            <w:r w:rsidRPr="00A03A5A">
              <w:rPr>
                <w:color w:val="2E74B5" w:themeColor="accent1" w:themeShade="BF"/>
                <w:sz w:val="21"/>
              </w:rPr>
              <w:t>Ex 14.16</w:t>
            </w:r>
            <w:r w:rsidR="00FD03A8" w:rsidRPr="00A03A5A">
              <w:rPr>
                <w:color w:val="2E74B5" w:themeColor="accent1" w:themeShade="BF"/>
                <w:sz w:val="21"/>
              </w:rPr>
              <w:t xml:space="preserve"> </w:t>
            </w:r>
            <w:r w:rsidR="00FD03A8" w:rsidRPr="00FD03A8">
              <w:rPr>
                <w:color w:val="2E74B5" w:themeColor="accent1" w:themeShade="BF"/>
                <w:sz w:val="21"/>
                <w:highlight w:val="yellow"/>
              </w:rPr>
              <w:t>(</w:t>
            </w:r>
            <w:r w:rsidR="00A03A5A">
              <w:rPr>
                <w:color w:val="2E74B5" w:themeColor="accent1" w:themeShade="BF"/>
                <w:sz w:val="21"/>
                <w:highlight w:val="yellow"/>
              </w:rPr>
              <w:t xml:space="preserve">work </w:t>
            </w:r>
            <w:r w:rsidR="00FD03A8" w:rsidRPr="00FD03A8">
              <w:rPr>
                <w:color w:val="2E74B5" w:themeColor="accent1" w:themeShade="BF"/>
                <w:sz w:val="21"/>
                <w:highlight w:val="yellow"/>
              </w:rPr>
              <w:t>to come)</w:t>
            </w:r>
          </w:p>
          <w:p w14:paraId="64CB67F4" w14:textId="7BDB1444" w:rsidR="004024CE" w:rsidRDefault="004024CE" w:rsidP="00A03A5A">
            <w:pPr>
              <w:rPr>
                <w:color w:val="2E74B5" w:themeColor="accent1" w:themeShade="BF"/>
                <w:sz w:val="21"/>
              </w:rPr>
            </w:pPr>
            <w:r w:rsidRPr="00A03A5A">
              <w:rPr>
                <w:color w:val="2E74B5" w:themeColor="accent1" w:themeShade="BF"/>
                <w:sz w:val="21"/>
              </w:rPr>
              <w:t>14D 7</w:t>
            </w:r>
            <w:bookmarkStart w:id="0" w:name="_GoBack"/>
            <w:bookmarkEnd w:id="0"/>
          </w:p>
          <w:p w14:paraId="282EDF23" w14:textId="77777777" w:rsidR="00D00874" w:rsidRDefault="00D00874" w:rsidP="004024CE">
            <w:pPr>
              <w:rPr>
                <w:color w:val="2E74B5" w:themeColor="accent1" w:themeShade="BF"/>
                <w:sz w:val="21"/>
              </w:rPr>
            </w:pPr>
          </w:p>
          <w:p w14:paraId="26EEC832" w14:textId="7EE82FD8" w:rsidR="00D00874" w:rsidRDefault="00D00874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Topple</w:t>
            </w:r>
          </w:p>
          <w:p w14:paraId="2C807951" w14:textId="68E41AB2" w:rsidR="00D00874" w:rsidRDefault="00F075CE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Center of mass through last point of contact</w:t>
            </w:r>
          </w:p>
          <w:p w14:paraId="11E107CB" w14:textId="1F9332D2" w:rsidR="00F075CE" w:rsidRPr="00FD03A8" w:rsidRDefault="00F075CE" w:rsidP="002B6B05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>Diagram p. 343</w:t>
            </w:r>
          </w:p>
          <w:p w14:paraId="4F520F6A" w14:textId="6AEFAFB6" w:rsidR="00EA42F4" w:rsidRPr="002B6B05" w:rsidRDefault="00EA42F4" w:rsidP="00AD6C7F">
            <w:pPr>
              <w:rPr>
                <w:color w:val="2E74B5" w:themeColor="accent1" w:themeShade="BF"/>
                <w:sz w:val="21"/>
              </w:rPr>
            </w:pPr>
            <w:r w:rsidRPr="002B6B05">
              <w:rPr>
                <w:color w:val="2E74B5" w:themeColor="accent1" w:themeShade="BF"/>
                <w:sz w:val="21"/>
              </w:rPr>
              <w:t xml:space="preserve">Generally, tan </w:t>
            </w:r>
            <w:r>
              <w:rPr>
                <w:rFonts w:cstheme="minorHAnsi"/>
                <w:color w:val="2E74B5" w:themeColor="accent1" w:themeShade="BF"/>
                <w:sz w:val="21"/>
              </w:rPr>
              <w:t>θ</w:t>
            </w:r>
            <w:r w:rsidRPr="002B6B05">
              <w:rPr>
                <w:color w:val="2E74B5" w:themeColor="accent1" w:themeShade="BF"/>
                <w:sz w:val="21"/>
              </w:rPr>
              <w:t xml:space="preserve"> = </w:t>
            </w:r>
            <w:r w:rsidR="00AD6C7F">
              <w:rPr>
                <w:color w:val="2E74B5" w:themeColor="accent1" w:themeShade="BF"/>
                <w:sz w:val="21"/>
              </w:rPr>
              <w:t xml:space="preserve">o/a = </w:t>
            </w:r>
            <w:r w:rsidR="002B6B05" w:rsidRPr="002B6B05">
              <w:rPr>
                <w:color w:val="2E74B5" w:themeColor="accent1" w:themeShade="BF"/>
                <w:sz w:val="21"/>
              </w:rPr>
              <w:t xml:space="preserve">triangle </w:t>
            </w:r>
            <w:r w:rsidRPr="002B6B05">
              <w:rPr>
                <w:color w:val="2E74B5" w:themeColor="accent1" w:themeShade="BF"/>
                <w:sz w:val="21"/>
              </w:rPr>
              <w:t>b / h</w:t>
            </w:r>
            <w:r w:rsidR="00AD6C7F">
              <w:rPr>
                <w:color w:val="2E74B5" w:themeColor="accent1" w:themeShade="BF"/>
                <w:sz w:val="21"/>
              </w:rPr>
              <w:t xml:space="preserve"> for angle to horizontal</w:t>
            </w:r>
          </w:p>
          <w:p w14:paraId="444A48DB" w14:textId="100EDC5F" w:rsidR="00F075CE" w:rsidRPr="00FD03A8" w:rsidRDefault="00F075CE" w:rsidP="004024CE">
            <w:p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FD03A8">
              <w:rPr>
                <w:color w:val="2E74B5" w:themeColor="accent1" w:themeShade="BF"/>
                <w:sz w:val="21"/>
                <w:lang w:val="es-CO"/>
              </w:rPr>
              <w:t>Rectangle</w:t>
            </w:r>
            <w:proofErr w:type="spellEnd"/>
            <w:r w:rsidRPr="00FD03A8">
              <w:rPr>
                <w:color w:val="2E74B5" w:themeColor="accent1" w:themeShade="BF"/>
                <w:sz w:val="21"/>
                <w:lang w:val="es-CO"/>
              </w:rPr>
              <w:t xml:space="preserve">: tan </w:t>
            </w:r>
            <w:r>
              <w:rPr>
                <w:rFonts w:cstheme="minorHAnsi"/>
                <w:color w:val="2E74B5" w:themeColor="accent1" w:themeShade="BF"/>
                <w:sz w:val="21"/>
              </w:rPr>
              <w:t>θ</w:t>
            </w:r>
            <w:r w:rsidRPr="00FD03A8">
              <w:rPr>
                <w:color w:val="2E74B5" w:themeColor="accent1" w:themeShade="BF"/>
                <w:sz w:val="21"/>
                <w:lang w:val="es-CO"/>
              </w:rPr>
              <w:t xml:space="preserve"> = ½</w:t>
            </w:r>
            <w:r w:rsidR="00B94DD4" w:rsidRPr="00FD03A8">
              <w:rPr>
                <w:color w:val="2E74B5" w:themeColor="accent1" w:themeShade="BF"/>
                <w:sz w:val="21"/>
                <w:lang w:val="es-CO"/>
              </w:rPr>
              <w:t>b</w:t>
            </w:r>
            <w:r w:rsidRPr="00FD03A8">
              <w:rPr>
                <w:color w:val="2E74B5" w:themeColor="accent1" w:themeShade="BF"/>
                <w:sz w:val="21"/>
                <w:lang w:val="es-CO"/>
              </w:rPr>
              <w:t xml:space="preserve"> / ½</w:t>
            </w:r>
            <w:r w:rsidR="00B94DD4" w:rsidRPr="00FD03A8">
              <w:rPr>
                <w:color w:val="2E74B5" w:themeColor="accent1" w:themeShade="BF"/>
                <w:sz w:val="21"/>
                <w:lang w:val="es-CO"/>
              </w:rPr>
              <w:t>h</w:t>
            </w:r>
          </w:p>
          <w:p w14:paraId="691157D2" w14:textId="77777777" w:rsidR="00F075CE" w:rsidRPr="00FD03A8" w:rsidRDefault="00F075CE" w:rsidP="004024CE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5FEFB0A" w14:textId="1CC09764" w:rsidR="004024CE" w:rsidRPr="00FD03A8" w:rsidRDefault="004024CE" w:rsidP="004024CE">
            <w:pPr>
              <w:rPr>
                <w:color w:val="2E74B5" w:themeColor="accent1" w:themeShade="BF"/>
                <w:sz w:val="21"/>
                <w:lang w:val="es-CO"/>
              </w:rPr>
            </w:pPr>
            <w:r w:rsidRPr="00FD03A8">
              <w:rPr>
                <w:color w:val="2E74B5" w:themeColor="accent1" w:themeShade="BF"/>
                <w:sz w:val="21"/>
                <w:lang w:val="es-CO"/>
              </w:rPr>
              <w:t>Ex 14.17</w:t>
            </w:r>
          </w:p>
          <w:p w14:paraId="49F5A294" w14:textId="78ABBA94" w:rsidR="00F075CE" w:rsidRPr="00F075CE" w:rsidRDefault="00F075CE" w:rsidP="004024CE">
            <w:pPr>
              <w:rPr>
                <w:color w:val="2E74B5" w:themeColor="accent1" w:themeShade="BF"/>
                <w:sz w:val="21"/>
              </w:rPr>
            </w:pPr>
            <w:r w:rsidRPr="00F075CE">
              <w:rPr>
                <w:color w:val="2E74B5" w:themeColor="accent1" w:themeShade="BF"/>
                <w:sz w:val="21"/>
              </w:rPr>
              <w:t>Hemisphere; center 3/8r</w:t>
            </w:r>
          </w:p>
          <w:p w14:paraId="641AAE06" w14:textId="686394D8" w:rsidR="00F075CE" w:rsidRPr="00F075CE" w:rsidRDefault="00F075CE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tan</w:t>
            </w:r>
            <w:r>
              <w:rPr>
                <w:rFonts w:cstheme="minorHAnsi"/>
                <w:color w:val="2E74B5" w:themeColor="accent1" w:themeShade="BF"/>
                <w:sz w:val="21"/>
              </w:rPr>
              <w:t xml:space="preserve"> θ</w:t>
            </w:r>
            <w:r w:rsidRPr="00F075CE">
              <w:rPr>
                <w:color w:val="2E74B5" w:themeColor="accent1" w:themeShade="BF"/>
                <w:sz w:val="21"/>
              </w:rPr>
              <w:t xml:space="preserve"> = </w:t>
            </w:r>
            <w:r w:rsidR="00EA42F4">
              <w:rPr>
                <w:color w:val="2E74B5" w:themeColor="accent1" w:themeShade="BF"/>
                <w:sz w:val="21"/>
              </w:rPr>
              <w:t xml:space="preserve">b/h = </w:t>
            </w:r>
            <w:r w:rsidRPr="00F075CE">
              <w:rPr>
                <w:color w:val="2E74B5" w:themeColor="accent1" w:themeShade="BF"/>
                <w:sz w:val="21"/>
              </w:rPr>
              <w:t>d/(3/8 r)</w:t>
            </w:r>
          </w:p>
          <w:p w14:paraId="052B0422" w14:textId="77777777" w:rsidR="00F075CE" w:rsidRPr="00F075CE" w:rsidRDefault="00F075CE" w:rsidP="00F075CE">
            <w:pPr>
              <w:rPr>
                <w:color w:val="2E74B5" w:themeColor="accent1" w:themeShade="BF"/>
                <w:sz w:val="21"/>
              </w:rPr>
            </w:pPr>
            <w:r w:rsidRPr="00F075CE">
              <w:rPr>
                <w:color w:val="2E74B5" w:themeColor="accent1" w:themeShade="BF"/>
                <w:sz w:val="21"/>
              </w:rPr>
              <w:t>When d = r, topple point</w:t>
            </w:r>
          </w:p>
          <w:p w14:paraId="47D19222" w14:textId="77777777" w:rsidR="00787FDB" w:rsidRDefault="00787FDB" w:rsidP="004024CE">
            <w:pPr>
              <w:rPr>
                <w:color w:val="2E74B5" w:themeColor="accent1" w:themeShade="BF"/>
                <w:sz w:val="21"/>
              </w:rPr>
            </w:pPr>
          </w:p>
          <w:p w14:paraId="7D476CF6" w14:textId="77777777" w:rsidR="004024CE" w:rsidRPr="00FD03A8" w:rsidRDefault="004024CE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>Ex 14.18</w:t>
            </w:r>
          </w:p>
          <w:p w14:paraId="4DE00807" w14:textId="7398F4C5" w:rsidR="00787FDB" w:rsidRPr="00FD03A8" w:rsidRDefault="00B94DD4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 xml:space="preserve">Center for </w:t>
            </w:r>
            <w:proofErr w:type="spellStart"/>
            <w:r w:rsidRPr="00FD03A8">
              <w:rPr>
                <w:color w:val="2E74B5" w:themeColor="accent1" w:themeShade="BF"/>
                <w:sz w:val="21"/>
              </w:rPr>
              <w:t>cyl</w:t>
            </w:r>
            <w:proofErr w:type="spellEnd"/>
            <w:r w:rsidRPr="00FD03A8">
              <w:rPr>
                <w:color w:val="2E74B5" w:themeColor="accent1" w:themeShade="BF"/>
                <w:sz w:val="21"/>
              </w:rPr>
              <w:t xml:space="preserve"> + cone: moments</w:t>
            </w:r>
          </w:p>
          <w:p w14:paraId="1C62E150" w14:textId="6F8C37B5" w:rsidR="00B94DD4" w:rsidRPr="00FD03A8" w:rsidRDefault="00B94DD4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 xml:space="preserve">tan </w:t>
            </w:r>
            <w:r>
              <w:rPr>
                <w:rFonts w:cstheme="minorHAnsi"/>
                <w:color w:val="2E74B5" w:themeColor="accent1" w:themeShade="BF"/>
                <w:sz w:val="21"/>
              </w:rPr>
              <w:t>θ</w:t>
            </w:r>
            <w:r w:rsidRPr="00F075CE">
              <w:rPr>
                <w:color w:val="2E74B5" w:themeColor="accent1" w:themeShade="BF"/>
                <w:sz w:val="21"/>
              </w:rPr>
              <w:t xml:space="preserve"> =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r w:rsidR="00EA42F4">
              <w:rPr>
                <w:color w:val="2E74B5" w:themeColor="accent1" w:themeShade="BF"/>
                <w:sz w:val="21"/>
              </w:rPr>
              <w:t>b/h = r / 9/10r</w:t>
            </w:r>
          </w:p>
          <w:p w14:paraId="0FD4FCAB" w14:textId="77777777" w:rsidR="004024CE" w:rsidRPr="00FD03A8" w:rsidRDefault="004024CE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>14D 2</w:t>
            </w:r>
          </w:p>
          <w:p w14:paraId="71D0BD0D" w14:textId="77777777" w:rsidR="002B6B05" w:rsidRPr="00FD03A8" w:rsidRDefault="002B6B05" w:rsidP="004024CE">
            <w:pPr>
              <w:rPr>
                <w:color w:val="2E74B5" w:themeColor="accent1" w:themeShade="BF"/>
                <w:sz w:val="21"/>
              </w:rPr>
            </w:pPr>
          </w:p>
          <w:p w14:paraId="6FF197A7" w14:textId="1441B543" w:rsidR="002B6B05" w:rsidRPr="002B6B05" w:rsidRDefault="002B6B05" w:rsidP="004024CE">
            <w:pPr>
              <w:rPr>
                <w:color w:val="2E74B5" w:themeColor="accent1" w:themeShade="BF"/>
                <w:sz w:val="21"/>
              </w:rPr>
            </w:pPr>
            <w:r w:rsidRPr="002B6B05">
              <w:rPr>
                <w:color w:val="2E74B5" w:themeColor="accent1" w:themeShade="BF"/>
                <w:sz w:val="21"/>
              </w:rPr>
              <w:t>S</w:t>
            </w:r>
            <w:r>
              <w:rPr>
                <w:color w:val="2E74B5" w:themeColor="accent1" w:themeShade="BF"/>
                <w:sz w:val="21"/>
              </w:rPr>
              <w:t>uspensio</w:t>
            </w:r>
            <w:r w:rsidRPr="002B6B05">
              <w:rPr>
                <w:color w:val="2E74B5" w:themeColor="accent1" w:themeShade="BF"/>
                <w:sz w:val="21"/>
              </w:rPr>
              <w:t>n</w:t>
            </w:r>
          </w:p>
          <w:p w14:paraId="03D11F02" w14:textId="242A6D23" w:rsidR="002B6B05" w:rsidRPr="002B6B05" w:rsidRDefault="002B6B05" w:rsidP="004024CE">
            <w:pPr>
              <w:rPr>
                <w:color w:val="2E74B5" w:themeColor="accent1" w:themeShade="BF"/>
                <w:sz w:val="21"/>
              </w:rPr>
            </w:pPr>
            <w:r w:rsidRPr="002B6B05">
              <w:rPr>
                <w:color w:val="2E74B5" w:themeColor="accent1" w:themeShade="BF"/>
                <w:sz w:val="21"/>
              </w:rPr>
              <w:t xml:space="preserve">Vertical passes through </w:t>
            </w:r>
            <w:r>
              <w:rPr>
                <w:color w:val="2E74B5" w:themeColor="accent1" w:themeShade="BF"/>
                <w:sz w:val="21"/>
              </w:rPr>
              <w:t>suspensio</w:t>
            </w:r>
            <w:r w:rsidRPr="002B6B05">
              <w:rPr>
                <w:color w:val="2E74B5" w:themeColor="accent1" w:themeShade="BF"/>
                <w:sz w:val="21"/>
              </w:rPr>
              <w:t>n point</w:t>
            </w:r>
            <w:r>
              <w:rPr>
                <w:color w:val="2E74B5" w:themeColor="accent1" w:themeShade="BF"/>
                <w:sz w:val="21"/>
              </w:rPr>
              <w:t xml:space="preserve"> and center of mass</w:t>
            </w:r>
          </w:p>
          <w:p w14:paraId="2D676196" w14:textId="5DE34DBC" w:rsidR="004024CE" w:rsidRPr="00FD03A8" w:rsidRDefault="004024CE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>Ex 14.19</w:t>
            </w:r>
            <w:r w:rsidR="002B6B05" w:rsidRPr="00FD03A8">
              <w:rPr>
                <w:color w:val="2E74B5" w:themeColor="accent1" w:themeShade="BF"/>
                <w:sz w:val="21"/>
              </w:rPr>
              <w:t>: center vertical with A</w:t>
            </w:r>
          </w:p>
          <w:p w14:paraId="37D38509" w14:textId="4BA097E3" w:rsidR="002B6B05" w:rsidRPr="002B6B05" w:rsidRDefault="002B6B05" w:rsidP="002B6B05">
            <w:pPr>
              <w:rPr>
                <w:color w:val="2E74B5" w:themeColor="accent1" w:themeShade="BF"/>
                <w:sz w:val="21"/>
              </w:rPr>
            </w:pPr>
            <w:r w:rsidRPr="002B6B05">
              <w:rPr>
                <w:color w:val="2E74B5" w:themeColor="accent1" w:themeShade="BF"/>
                <w:sz w:val="21"/>
              </w:rPr>
              <w:t>Ex 14.20: center requires x only due to symmetry</w:t>
            </w:r>
            <w:r w:rsidR="00AD6C7F">
              <w:rPr>
                <w:color w:val="2E74B5" w:themeColor="accent1" w:themeShade="BF"/>
                <w:sz w:val="21"/>
              </w:rPr>
              <w:t>; note angle to vertical, so for o/a, switch to h/b</w:t>
            </w:r>
          </w:p>
          <w:p w14:paraId="0A01C027" w14:textId="77777777" w:rsidR="004024CE" w:rsidRPr="00FD03A8" w:rsidRDefault="004024CE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lastRenderedPageBreak/>
              <w:t>14D 4, 5</w:t>
            </w:r>
          </w:p>
          <w:p w14:paraId="0834C791" w14:textId="77777777" w:rsidR="00AD6C7F" w:rsidRPr="00AD6C7F" w:rsidRDefault="00AD6C7F" w:rsidP="004024CE">
            <w:pPr>
              <w:rPr>
                <w:color w:val="2E74B5" w:themeColor="accent1" w:themeShade="BF"/>
                <w:sz w:val="21"/>
              </w:rPr>
            </w:pPr>
          </w:p>
          <w:p w14:paraId="6BD8AF42" w14:textId="26ED3EB5" w:rsidR="00AD6C7F" w:rsidRDefault="00AD6C7F" w:rsidP="004024CE">
            <w:pPr>
              <w:rPr>
                <w:color w:val="2E74B5" w:themeColor="accent1" w:themeShade="BF"/>
                <w:sz w:val="21"/>
              </w:rPr>
            </w:pPr>
            <w:r w:rsidRPr="00AD6C7F">
              <w:rPr>
                <w:color w:val="2E74B5" w:themeColor="accent1" w:themeShade="BF"/>
                <w:sz w:val="21"/>
              </w:rPr>
              <w:t>Sliding</w:t>
            </w:r>
            <w:r w:rsidRPr="00FD03A8">
              <w:rPr>
                <w:color w:val="2E74B5" w:themeColor="accent1" w:themeShade="BF"/>
                <w:sz w:val="21"/>
              </w:rPr>
              <w:t xml:space="preserve"> vs.</w:t>
            </w:r>
            <w:r w:rsidRPr="00AD6C7F">
              <w:rPr>
                <w:color w:val="2E74B5" w:themeColor="accent1" w:themeShade="BF"/>
                <w:sz w:val="21"/>
              </w:rPr>
              <w:t xml:space="preserve"> toppling</w:t>
            </w:r>
          </w:p>
          <w:p w14:paraId="6906CF6F" w14:textId="52C3F99B" w:rsidR="005E29BF" w:rsidRDefault="005E29BF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As force pushes, R moves in direction of push; the location of R results from a calculation</w:t>
            </w:r>
          </w:p>
          <w:p w14:paraId="761715F7" w14:textId="3D73EC95" w:rsidR="00992210" w:rsidRDefault="00992210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 what “d = 0” means; X is strong enough to push top vertex to vertically align with O</w:t>
            </w:r>
          </w:p>
          <w:p w14:paraId="66081633" w14:textId="52FAE159" w:rsidR="00992210" w:rsidRPr="00992210" w:rsidRDefault="00155EE7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Slide: compare force to friction force</w:t>
            </w:r>
          </w:p>
          <w:p w14:paraId="20083042" w14:textId="5CC6B000" w:rsidR="00F6578D" w:rsidRPr="00992210" w:rsidRDefault="00F6578D" w:rsidP="004024CE">
            <w:pPr>
              <w:rPr>
                <w:color w:val="2E74B5" w:themeColor="accent1" w:themeShade="BF"/>
                <w:sz w:val="21"/>
              </w:rPr>
            </w:pPr>
            <w:r w:rsidRPr="00992210">
              <w:rPr>
                <w:color w:val="2E74B5" w:themeColor="accent1" w:themeShade="BF"/>
                <w:sz w:val="21"/>
                <w:u w:val="single"/>
              </w:rPr>
              <w:t>ALG</w:t>
            </w:r>
            <w:r w:rsidRPr="00992210">
              <w:rPr>
                <w:color w:val="2E74B5" w:themeColor="accent1" w:themeShade="BF"/>
                <w:sz w:val="21"/>
              </w:rPr>
              <w:t>:</w:t>
            </w:r>
          </w:p>
          <w:p w14:paraId="4D5ACA83" w14:textId="1EA98616" w:rsidR="00F6578D" w:rsidRDefault="00F6578D" w:rsidP="00F6578D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 w:rsidRPr="00F6578D">
              <w:rPr>
                <w:color w:val="2E74B5" w:themeColor="accent1" w:themeShade="BF"/>
                <w:sz w:val="21"/>
              </w:rPr>
              <w:t>Resolve h and v (par and perp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6889BA47" w14:textId="75F611D6" w:rsidR="00F6578D" w:rsidRDefault="00F6578D" w:rsidP="00F6578D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Moments</w:t>
            </w:r>
          </w:p>
          <w:p w14:paraId="06BC3028" w14:textId="6EF38C33" w:rsidR="00F6578D" w:rsidRPr="00F6578D" w:rsidRDefault="00F6578D" w:rsidP="00F6578D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Evaluate per scenario</w:t>
            </w:r>
          </w:p>
          <w:p w14:paraId="30C2CF7C" w14:textId="77777777" w:rsidR="00AD6C7F" w:rsidRPr="00F6578D" w:rsidRDefault="00AD6C7F" w:rsidP="004024CE">
            <w:pPr>
              <w:rPr>
                <w:color w:val="2E74B5" w:themeColor="accent1" w:themeShade="BF"/>
                <w:sz w:val="21"/>
              </w:rPr>
            </w:pPr>
          </w:p>
          <w:p w14:paraId="2C35E46D" w14:textId="77777777" w:rsidR="004024CE" w:rsidRDefault="004024CE" w:rsidP="004024CE">
            <w:pPr>
              <w:rPr>
                <w:color w:val="2E74B5" w:themeColor="accent1" w:themeShade="BF"/>
                <w:sz w:val="21"/>
                <w:lang w:val="es-CO"/>
              </w:rPr>
            </w:pPr>
            <w:r w:rsidRPr="004024CE">
              <w:rPr>
                <w:color w:val="2E74B5" w:themeColor="accent1" w:themeShade="BF"/>
                <w:sz w:val="21"/>
                <w:lang w:val="es-CO"/>
              </w:rPr>
              <w:t>Ex 14.21</w:t>
            </w:r>
          </w:p>
          <w:p w14:paraId="08D18713" w14:textId="29D6AFB3" w:rsidR="0075111F" w:rsidRDefault="0075111F" w:rsidP="0075111F">
            <w:pPr>
              <w:rPr>
                <w:color w:val="2E74B5" w:themeColor="accent1" w:themeShade="BF"/>
                <w:sz w:val="21"/>
              </w:rPr>
            </w:pPr>
            <w:r w:rsidRPr="0075111F">
              <w:rPr>
                <w:color w:val="2E74B5" w:themeColor="accent1" w:themeShade="BF"/>
                <w:sz w:val="21"/>
              </w:rPr>
              <w:t>M</w:t>
            </w:r>
            <w:r>
              <w:rPr>
                <w:color w:val="2E74B5" w:themeColor="accent1" w:themeShade="BF"/>
                <w:sz w:val="21"/>
              </w:rPr>
              <w:t>om</w:t>
            </w:r>
            <w:r w:rsidRPr="0075111F">
              <w:rPr>
                <w:color w:val="2E74B5" w:themeColor="accent1" w:themeShade="BF"/>
                <w:sz w:val="21"/>
              </w:rPr>
              <w:t xml:space="preserve">ents </w:t>
            </w:r>
            <w:r w:rsidRPr="0075111F">
              <w:rPr>
                <w:color w:val="2E74B5" w:themeColor="accent1" w:themeShade="BF"/>
                <w:sz w:val="21"/>
                <w:u w:val="single"/>
              </w:rPr>
              <w:t>from O</w:t>
            </w:r>
            <w:r w:rsidRPr="0075111F">
              <w:rPr>
                <w:color w:val="2E74B5" w:themeColor="accent1" w:themeShade="BF"/>
                <w:sz w:val="21"/>
              </w:rPr>
              <w:t xml:space="preserve">: F x perp </w:t>
            </w:r>
            <w:proofErr w:type="spellStart"/>
            <w:r w:rsidRPr="0075111F">
              <w:rPr>
                <w:color w:val="2E74B5" w:themeColor="accent1" w:themeShade="BF"/>
                <w:sz w:val="21"/>
              </w:rPr>
              <w:t>dist</w:t>
            </w:r>
            <w:proofErr w:type="spellEnd"/>
            <w:r w:rsidRPr="0075111F">
              <w:rPr>
                <w:color w:val="2E74B5" w:themeColor="accent1" w:themeShade="BF"/>
                <w:sz w:val="21"/>
              </w:rPr>
              <w:t xml:space="preserve">, </w:t>
            </w:r>
            <w:r>
              <w:rPr>
                <w:color w:val="2E74B5" w:themeColor="accent1" w:themeShade="BF"/>
                <w:sz w:val="21"/>
              </w:rPr>
              <w:t xml:space="preserve">X and </w:t>
            </w:r>
            <w:proofErr w:type="spellStart"/>
            <w:r>
              <w:rPr>
                <w:color w:val="2E74B5" w:themeColor="accent1" w:themeShade="BF"/>
                <w:sz w:val="21"/>
              </w:rPr>
              <w:t>R are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offset (=) by mg, mg perp </w:t>
            </w:r>
            <w:proofErr w:type="spellStart"/>
            <w:r>
              <w:rPr>
                <w:color w:val="2E74B5" w:themeColor="accent1" w:themeShade="BF"/>
                <w:sz w:val="21"/>
              </w:rPr>
              <w:t>dist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is 1/3 x height (triangle)</w:t>
            </w:r>
          </w:p>
          <w:p w14:paraId="621DDF0D" w14:textId="77777777" w:rsidR="005E29BF" w:rsidRPr="0075111F" w:rsidRDefault="005E29BF" w:rsidP="0075111F">
            <w:pPr>
              <w:rPr>
                <w:color w:val="2E74B5" w:themeColor="accent1" w:themeShade="BF"/>
                <w:sz w:val="21"/>
              </w:rPr>
            </w:pPr>
          </w:p>
          <w:p w14:paraId="2C8179AB" w14:textId="77777777" w:rsidR="004024CE" w:rsidRPr="00FD03A8" w:rsidRDefault="004024CE" w:rsidP="004024CE">
            <w:pPr>
              <w:rPr>
                <w:color w:val="2E74B5" w:themeColor="accent1" w:themeShade="BF"/>
                <w:sz w:val="21"/>
              </w:rPr>
            </w:pPr>
            <w:r w:rsidRPr="00FD03A8">
              <w:rPr>
                <w:color w:val="2E74B5" w:themeColor="accent1" w:themeShade="BF"/>
                <w:sz w:val="21"/>
              </w:rPr>
              <w:t>Ex 14.22</w:t>
            </w:r>
          </w:p>
          <w:p w14:paraId="2F02DC00" w14:textId="3CB7897E" w:rsidR="005E29BF" w:rsidRPr="00CD7C9F" w:rsidRDefault="005E29BF" w:rsidP="004024CE">
            <w:pPr>
              <w:rPr>
                <w:color w:val="2E74B5" w:themeColor="accent1" w:themeShade="BF"/>
                <w:sz w:val="21"/>
              </w:rPr>
            </w:pPr>
            <w:r w:rsidRPr="00CD7C9F">
              <w:rPr>
                <w:color w:val="2E74B5" w:themeColor="accent1" w:themeShade="BF"/>
                <w:sz w:val="21"/>
              </w:rPr>
              <w:t>¼: cone</w:t>
            </w:r>
          </w:p>
          <w:p w14:paraId="68227572" w14:textId="52356E3A" w:rsidR="005E29BF" w:rsidRPr="00CD7C9F" w:rsidRDefault="00CD7C9F" w:rsidP="004024CE">
            <w:pPr>
              <w:rPr>
                <w:color w:val="2E74B5" w:themeColor="accent1" w:themeShade="BF"/>
                <w:sz w:val="21"/>
              </w:rPr>
            </w:pPr>
            <w:r w:rsidRPr="00CD7C9F">
              <w:rPr>
                <w:color w:val="2E74B5" w:themeColor="accent1" w:themeShade="BF"/>
                <w:sz w:val="21"/>
              </w:rPr>
              <w:t>Topple: d = 0, find angle</w:t>
            </w:r>
          </w:p>
          <w:p w14:paraId="66D28913" w14:textId="729A1945" w:rsidR="00CD7C9F" w:rsidRDefault="00CD7C9F" w:rsidP="004024CE">
            <w:pPr>
              <w:rPr>
                <w:color w:val="2E74B5" w:themeColor="accent1" w:themeShade="BF"/>
                <w:sz w:val="21"/>
              </w:rPr>
            </w:pPr>
            <w:r w:rsidRPr="00CD7C9F">
              <w:rPr>
                <w:color w:val="2E74B5" w:themeColor="accent1" w:themeShade="BF"/>
                <w:sz w:val="21"/>
              </w:rPr>
              <w:t>Slide</w:t>
            </w:r>
            <w:r>
              <w:rPr>
                <w:color w:val="2E74B5" w:themeColor="accent1" w:themeShade="BF"/>
                <w:sz w:val="21"/>
              </w:rPr>
              <w:t xml:space="preserve">: F = </w:t>
            </w:r>
            <w:proofErr w:type="spellStart"/>
            <w:r>
              <w:rPr>
                <w:color w:val="2E74B5" w:themeColor="accent1" w:themeShade="BF"/>
                <w:sz w:val="21"/>
              </w:rPr>
              <w:t>mR</w:t>
            </w:r>
            <w:proofErr w:type="spellEnd"/>
            <w:r>
              <w:rPr>
                <w:color w:val="2E74B5" w:themeColor="accent1" w:themeShade="BF"/>
                <w:sz w:val="21"/>
              </w:rPr>
              <w:t>, find angle</w:t>
            </w:r>
          </w:p>
          <w:p w14:paraId="1CC86202" w14:textId="2DB58F88" w:rsidR="00CD7C9F" w:rsidRDefault="00CD7C9F" w:rsidP="004024C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Smaller angle = “first” result</w:t>
            </w:r>
          </w:p>
          <w:p w14:paraId="29502EC6" w14:textId="77777777" w:rsidR="00CD7C9F" w:rsidRPr="00CD7C9F" w:rsidRDefault="00CD7C9F" w:rsidP="004024CE">
            <w:pPr>
              <w:rPr>
                <w:color w:val="2E74B5" w:themeColor="accent1" w:themeShade="BF"/>
                <w:sz w:val="21"/>
              </w:rPr>
            </w:pPr>
          </w:p>
          <w:p w14:paraId="4248800F" w14:textId="7D3E439D" w:rsidR="004024CE" w:rsidRPr="004024CE" w:rsidRDefault="004024CE" w:rsidP="004024CE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14D 8</w:t>
            </w:r>
          </w:p>
        </w:tc>
        <w:tc>
          <w:tcPr>
            <w:tcW w:w="3240" w:type="dxa"/>
            <w:gridSpan w:val="2"/>
          </w:tcPr>
          <w:p w14:paraId="726590D2" w14:textId="75944DEB" w:rsidR="00D00874" w:rsidRPr="001A7806" w:rsidRDefault="00D00874" w:rsidP="00A03A5A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4E64969B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10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37FDF"/>
    <w:multiLevelType w:val="hybridMultilevel"/>
    <w:tmpl w:val="759A1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C021D"/>
    <w:multiLevelType w:val="hybridMultilevel"/>
    <w:tmpl w:val="CE1A6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1E9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55EE7"/>
    <w:rsid w:val="0019589A"/>
    <w:rsid w:val="001A7806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2B6B05"/>
    <w:rsid w:val="00301465"/>
    <w:rsid w:val="0034644E"/>
    <w:rsid w:val="00350488"/>
    <w:rsid w:val="003608D7"/>
    <w:rsid w:val="00366F69"/>
    <w:rsid w:val="00382BA9"/>
    <w:rsid w:val="00386DA7"/>
    <w:rsid w:val="003A037B"/>
    <w:rsid w:val="003B6AEB"/>
    <w:rsid w:val="003D3B24"/>
    <w:rsid w:val="003D5997"/>
    <w:rsid w:val="003D7C3A"/>
    <w:rsid w:val="003F30CC"/>
    <w:rsid w:val="004024CE"/>
    <w:rsid w:val="00405986"/>
    <w:rsid w:val="004544A0"/>
    <w:rsid w:val="00471FC1"/>
    <w:rsid w:val="00473172"/>
    <w:rsid w:val="00477C6A"/>
    <w:rsid w:val="00480920"/>
    <w:rsid w:val="00492C23"/>
    <w:rsid w:val="004A1D33"/>
    <w:rsid w:val="004A3458"/>
    <w:rsid w:val="004B03B5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E29BF"/>
    <w:rsid w:val="005F58E0"/>
    <w:rsid w:val="00634CE6"/>
    <w:rsid w:val="00671081"/>
    <w:rsid w:val="00685E44"/>
    <w:rsid w:val="0069609D"/>
    <w:rsid w:val="006A6156"/>
    <w:rsid w:val="006D0ACE"/>
    <w:rsid w:val="006D5AFB"/>
    <w:rsid w:val="006F66F0"/>
    <w:rsid w:val="0075111F"/>
    <w:rsid w:val="00751A39"/>
    <w:rsid w:val="00766B9D"/>
    <w:rsid w:val="0078426F"/>
    <w:rsid w:val="00787FDB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92210"/>
    <w:rsid w:val="00995FB4"/>
    <w:rsid w:val="009B5B70"/>
    <w:rsid w:val="009E1775"/>
    <w:rsid w:val="009F12F3"/>
    <w:rsid w:val="009F5FF2"/>
    <w:rsid w:val="009F6EE6"/>
    <w:rsid w:val="00A03A5A"/>
    <w:rsid w:val="00A24836"/>
    <w:rsid w:val="00A52F1A"/>
    <w:rsid w:val="00A70013"/>
    <w:rsid w:val="00AA44DE"/>
    <w:rsid w:val="00AD6C7F"/>
    <w:rsid w:val="00AE15FA"/>
    <w:rsid w:val="00B268B7"/>
    <w:rsid w:val="00B27E2D"/>
    <w:rsid w:val="00B74186"/>
    <w:rsid w:val="00B85215"/>
    <w:rsid w:val="00B903F6"/>
    <w:rsid w:val="00B94DD4"/>
    <w:rsid w:val="00BA4594"/>
    <w:rsid w:val="00BA6BBC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D7C9F"/>
    <w:rsid w:val="00CF1F0B"/>
    <w:rsid w:val="00CF4F4D"/>
    <w:rsid w:val="00D00874"/>
    <w:rsid w:val="00D514A9"/>
    <w:rsid w:val="00D6482C"/>
    <w:rsid w:val="00D67C16"/>
    <w:rsid w:val="00DA459B"/>
    <w:rsid w:val="00DB13E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9107E"/>
    <w:rsid w:val="00E91414"/>
    <w:rsid w:val="00E93597"/>
    <w:rsid w:val="00EA42F4"/>
    <w:rsid w:val="00EA559C"/>
    <w:rsid w:val="00EB00BD"/>
    <w:rsid w:val="00EE1839"/>
    <w:rsid w:val="00EE572D"/>
    <w:rsid w:val="00EF2AC1"/>
    <w:rsid w:val="00F0424D"/>
    <w:rsid w:val="00F075CE"/>
    <w:rsid w:val="00F26BF2"/>
    <w:rsid w:val="00F31DC3"/>
    <w:rsid w:val="00F3424C"/>
    <w:rsid w:val="00F6578D"/>
    <w:rsid w:val="00F67BE4"/>
    <w:rsid w:val="00F872F4"/>
    <w:rsid w:val="00F9515C"/>
    <w:rsid w:val="00FB7892"/>
    <w:rsid w:val="00FD03A8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31DD-DF1B-4389-AC8D-DA86600E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10</cp:revision>
  <cp:lastPrinted>2019-07-05T07:41:00Z</cp:lastPrinted>
  <dcterms:created xsi:type="dcterms:W3CDTF">2021-04-22T08:53:00Z</dcterms:created>
  <dcterms:modified xsi:type="dcterms:W3CDTF">2021-05-13T05:36:00Z</dcterms:modified>
</cp:coreProperties>
</file>