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5AF2C1AB" w:rsidR="006D5AFB" w:rsidRPr="006D5AFB" w:rsidRDefault="00562F1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3364DCC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3B31AC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20BEB375" w14:textId="77777777" w:rsidR="000C52E7" w:rsidRDefault="00D02EFF" w:rsidP="00367E8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21 Differentiation</w:t>
            </w:r>
          </w:p>
          <w:p w14:paraId="39AAF269" w14:textId="3130C736" w:rsidR="00D02EFF" w:rsidRPr="00EE572D" w:rsidRDefault="00D02EFF" w:rsidP="00562F1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21.</w:t>
            </w:r>
            <w:r w:rsidR="00562F1C">
              <w:rPr>
                <w:color w:val="2E74B5" w:themeColor="accent1" w:themeShade="BF"/>
              </w:rPr>
              <w:t>3 Hyperbolic and inverse functions p. 481</w:t>
            </w:r>
          </w:p>
        </w:tc>
        <w:tc>
          <w:tcPr>
            <w:tcW w:w="2880" w:type="dxa"/>
          </w:tcPr>
          <w:p w14:paraId="6E228A79" w14:textId="56E41E14" w:rsidR="00CF1F0B" w:rsidRPr="00CF4F4D" w:rsidRDefault="003B31AC" w:rsidP="003B31A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3 Differentiation: Differentiate hyperbolic functions and differentiate sin</w:t>
            </w:r>
            <w:r>
              <w:rPr>
                <w:color w:val="2E74B5" w:themeColor="accent1" w:themeShade="BF"/>
                <w:vertAlign w:val="superscript"/>
              </w:rPr>
              <w:t>–1</w:t>
            </w:r>
            <w:r>
              <w:rPr>
                <w:color w:val="2E74B5" w:themeColor="accent1" w:themeShade="BF"/>
              </w:rPr>
              <w:t>x, cos</w:t>
            </w:r>
            <w:r>
              <w:rPr>
                <w:color w:val="2E74B5" w:themeColor="accent1" w:themeShade="BF"/>
                <w:vertAlign w:val="superscript"/>
              </w:rPr>
              <w:t>–1</w:t>
            </w:r>
            <w:r>
              <w:rPr>
                <w:color w:val="2E74B5" w:themeColor="accent1" w:themeShade="BF"/>
              </w:rPr>
              <w:t xml:space="preserve">x, </w:t>
            </w:r>
            <w:proofErr w:type="spellStart"/>
            <w:r>
              <w:rPr>
                <w:color w:val="2E74B5" w:themeColor="accent1" w:themeShade="BF"/>
              </w:rPr>
              <w:t>sinh</w:t>
            </w:r>
            <w:proofErr w:type="spellEnd"/>
            <w:r>
              <w:rPr>
                <w:color w:val="2E74B5" w:themeColor="accent1" w:themeShade="BF"/>
                <w:vertAlign w:val="superscript"/>
              </w:rPr>
              <w:t>–1</w:t>
            </w:r>
            <w:r>
              <w:rPr>
                <w:color w:val="2E74B5" w:themeColor="accent1" w:themeShade="BF"/>
              </w:rPr>
              <w:t xml:space="preserve">x, </w:t>
            </w:r>
            <w:proofErr w:type="spellStart"/>
            <w:r>
              <w:rPr>
                <w:color w:val="2E74B5" w:themeColor="accent1" w:themeShade="BF"/>
              </w:rPr>
              <w:t>cosh</w:t>
            </w:r>
            <w:proofErr w:type="spellEnd"/>
            <w:r>
              <w:rPr>
                <w:color w:val="2E74B5" w:themeColor="accent1" w:themeShade="BF"/>
                <w:vertAlign w:val="superscript"/>
              </w:rPr>
              <w:t>–1</w:t>
            </w:r>
            <w:r>
              <w:rPr>
                <w:color w:val="2E74B5" w:themeColor="accent1" w:themeShade="BF"/>
              </w:rPr>
              <w:t xml:space="preserve">x and </w:t>
            </w:r>
            <w:proofErr w:type="spellStart"/>
            <w:r>
              <w:rPr>
                <w:color w:val="2E74B5" w:themeColor="accent1" w:themeShade="BF"/>
              </w:rPr>
              <w:t>tanh</w:t>
            </w:r>
            <w:proofErr w:type="spellEnd"/>
            <w:r>
              <w:rPr>
                <w:color w:val="2E74B5" w:themeColor="accent1" w:themeShade="BF"/>
                <w:vertAlign w:val="superscript"/>
              </w:rPr>
              <w:t>–1</w:t>
            </w:r>
            <w:r>
              <w:rPr>
                <w:color w:val="2E74B5" w:themeColor="accent1" w:themeShade="BF"/>
              </w:rPr>
              <w:t>x</w:t>
            </w:r>
          </w:p>
        </w:tc>
        <w:tc>
          <w:tcPr>
            <w:tcW w:w="3780" w:type="dxa"/>
            <w:gridSpan w:val="2"/>
          </w:tcPr>
          <w:p w14:paraId="3979AAD9" w14:textId="77777777" w:rsidR="00EA559C" w:rsidRDefault="008014E0" w:rsidP="008014E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d/dx(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)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coshx</w:t>
            </w:r>
            <w:proofErr w:type="spellEnd"/>
          </w:p>
          <w:p w14:paraId="16C97E29" w14:textId="77777777" w:rsidR="008014E0" w:rsidRDefault="008014E0" w:rsidP="008014E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d/dx(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)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sinhx</w:t>
            </w:r>
            <w:proofErr w:type="spellEnd"/>
          </w:p>
          <w:p w14:paraId="3E5EEE7C" w14:textId="77777777" w:rsidR="00576504" w:rsidRDefault="00576504" w:rsidP="0057650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d/dx(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tanhx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 = sech</w:t>
            </w:r>
            <w:r w:rsidRPr="0057650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</w:p>
          <w:p w14:paraId="55ACDF1B" w14:textId="4173185B" w:rsidR="007B39A6" w:rsidRDefault="007B39A6" w:rsidP="0057650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21.7: use sub when useful</w:t>
            </w:r>
          </w:p>
          <w:p w14:paraId="6DF926A9" w14:textId="77777777" w:rsidR="007B39A6" w:rsidRDefault="00576504" w:rsidP="007B39A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sechx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cosechx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cothx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– differentiate </w:t>
            </w:r>
            <w:r w:rsidR="007B39A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using 1/</w:t>
            </w:r>
            <w:proofErr w:type="spellStart"/>
            <w:r w:rsidR="007B39A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coshx-sinhx-tanhx</w:t>
            </w:r>
            <w:proofErr w:type="spellEnd"/>
          </w:p>
          <w:p w14:paraId="5EA53A48" w14:textId="3C19F4D7" w:rsidR="007B39A6" w:rsidRPr="00304FCC" w:rsidRDefault="007B39A6" w:rsidP="007B39A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304FC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Ex 21.8: </w:t>
            </w:r>
            <w:proofErr w:type="spellStart"/>
            <w:r w:rsidRPr="00304FC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hyp</w:t>
            </w:r>
            <w:proofErr w:type="spellEnd"/>
            <w:r w:rsidRPr="00304FC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 w:rsidRPr="00304FC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IDs</w:t>
            </w:r>
            <w:proofErr w:type="spellEnd"/>
            <w:r w:rsidRPr="00304FC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(MF19), d – </w:t>
            </w:r>
            <w:proofErr w:type="spellStart"/>
            <w:r w:rsidRPr="00304FC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implicit</w:t>
            </w:r>
            <w:proofErr w:type="spellEnd"/>
          </w:p>
          <w:p w14:paraId="4AD2B8AE" w14:textId="68EC4EED" w:rsidR="007B39A6" w:rsidRDefault="007B39A6" w:rsidP="007B39A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Inverse functions: MF19, sin/cos/tan and</w:t>
            </w:r>
          </w:p>
          <w:p w14:paraId="71E50F03" w14:textId="77777777" w:rsidR="007B39A6" w:rsidRDefault="007B39A6" w:rsidP="007B39A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tanh</w:t>
            </w:r>
            <w:proofErr w:type="spellEnd"/>
          </w:p>
          <w:p w14:paraId="07BE905E" w14:textId="2A7E46B2" w:rsidR="007B39A6" w:rsidRDefault="007B39A6" w:rsidP="0003511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21.9: </w:t>
            </w:r>
            <w:r w:rsidR="0003511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“take tan of both sides” is inverse,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derivation using implicit differentiation</w:t>
            </w:r>
          </w:p>
          <w:p w14:paraId="499B26F1" w14:textId="77777777" w:rsidR="007B39A6" w:rsidRDefault="00035113" w:rsidP="0003511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21.10: b) “take tan of both sides” is inverse</w:t>
            </w:r>
            <w:r w:rsidR="0064738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c) implicit differentiation</w:t>
            </w:r>
          </w:p>
          <w:p w14:paraId="086D8798" w14:textId="77777777" w:rsidR="00647389" w:rsidRDefault="00647389" w:rsidP="0003511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21.11: derivation using implicit differentiation</w:t>
            </w:r>
          </w:p>
          <w:p w14:paraId="6CBC3E30" w14:textId="2AF44712" w:rsidR="00647389" w:rsidRPr="007B39A6" w:rsidRDefault="00647389" w:rsidP="00E620A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21C </w:t>
            </w:r>
            <w:r w:rsidR="006E21B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2, 4, 6, 8</w:t>
            </w:r>
            <w:r w:rsidR="00E620AB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(a book answer error: +/- 1, +/- pi/4)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3A037B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34B50D69" w:rsidR="003A037B" w:rsidRPr="00671081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04C84A0D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  <w:r w:rsidR="003B31AC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2669A7A6" w14:textId="77777777" w:rsidR="00D02EFF" w:rsidRDefault="00D02EFF" w:rsidP="00D02EF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21 Differentiation</w:t>
            </w:r>
          </w:p>
          <w:p w14:paraId="63187A9C" w14:textId="4673E134" w:rsidR="00664C9F" w:rsidRPr="007A2EE3" w:rsidRDefault="00D02EFF" w:rsidP="00562F1C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21.</w:t>
            </w:r>
            <w:r w:rsidR="00562F1C">
              <w:rPr>
                <w:color w:val="2E74B5" w:themeColor="accent1" w:themeShade="BF"/>
              </w:rPr>
              <w:t>4 Maclaurin series p. 488</w:t>
            </w:r>
          </w:p>
        </w:tc>
        <w:tc>
          <w:tcPr>
            <w:tcW w:w="2880" w:type="dxa"/>
          </w:tcPr>
          <w:p w14:paraId="2F3480E1" w14:textId="4FB1BBD3" w:rsidR="003B31AC" w:rsidRDefault="003B31AC" w:rsidP="003B31A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3 Differentiation: Derive and use the first few terms of a</w:t>
            </w:r>
          </w:p>
          <w:p w14:paraId="3D24A7DC" w14:textId="6364566D" w:rsidR="00664C9F" w:rsidRPr="00CF4F4D" w:rsidRDefault="003B31AC" w:rsidP="003B31A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Maclaurin’s series for a function</w:t>
            </w:r>
          </w:p>
        </w:tc>
        <w:tc>
          <w:tcPr>
            <w:tcW w:w="3780" w:type="dxa"/>
            <w:gridSpan w:val="2"/>
          </w:tcPr>
          <w:p w14:paraId="64F5D0B1" w14:textId="179E24AA" w:rsidR="007A4F6E" w:rsidRPr="007A4F6E" w:rsidRDefault="007A4F6E" w:rsidP="00304FC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Maclaurin – method to convert a differentiable function to a power series of polynomials; polys tend to be easier to work with than </w:t>
            </w:r>
            <w:proofErr w:type="spellStart"/>
            <w:r>
              <w:rPr>
                <w:rFonts w:eastAsiaTheme="minorEastAsia"/>
                <w:color w:val="2E74B5" w:themeColor="accent1" w:themeShade="BF"/>
                <w:sz w:val="21"/>
              </w:rPr>
              <w:t>exp</w:t>
            </w:r>
            <w:proofErr w:type="spellEnd"/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, log, trig, </w:t>
            </w:r>
            <w:proofErr w:type="spellStart"/>
            <w:r>
              <w:rPr>
                <w:rFonts w:eastAsiaTheme="minorEastAsia"/>
                <w:color w:val="2E74B5" w:themeColor="accent1" w:themeShade="BF"/>
                <w:sz w:val="21"/>
              </w:rPr>
              <w:t>hyp</w:t>
            </w:r>
            <w:proofErr w:type="spellEnd"/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functions</w:t>
            </w:r>
          </w:p>
          <w:p w14:paraId="78573F2C" w14:textId="179E1BBB" w:rsidR="00664C9F" w:rsidRPr="00304FCC" w:rsidRDefault="00304FCC" w:rsidP="00304FC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  <w:lang w:val="es-CO"/>
                  </w:rPr>
                  <m:t>=</m:t>
                </m:r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  <w:lang w:val="es-CO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  <w:lang w:val="es-CO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  <w:lang w:val="es-CO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  <w:lang w:val="es-CO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x</m:t>
                </m:r>
                <m:r>
                  <w:rPr>
                    <w:rFonts w:ascii="Cambria Math" w:hAnsi="Cambria Math"/>
                    <w:color w:val="2E74B5" w:themeColor="accent1" w:themeShade="BF"/>
                    <w:sz w:val="21"/>
                    <w:lang w:val="es-CO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f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  <w:lang w:val="es-CO"/>
                      </w:rPr>
                      <m:t>"(0)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  <w:lang w:val="es-C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  <w:lang w:val="es-CO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  <w:lang w:val="es-CO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+…</m:t>
                </m:r>
              </m:oMath>
            </m:oMathPara>
          </w:p>
          <w:p w14:paraId="279A9BE4" w14:textId="2B3A674C" w:rsidR="00304FCC" w:rsidRDefault="00304FCC" w:rsidP="00304FCC">
            <w:pPr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Primary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>: e</w:t>
            </w:r>
            <w:r w:rsidRPr="00304FCC">
              <w:rPr>
                <w:color w:val="2E74B5" w:themeColor="accent1" w:themeShade="BF"/>
                <w:sz w:val="21"/>
                <w:vertAlign w:val="superscript"/>
                <w:lang w:val="es-CO"/>
              </w:rPr>
              <w:t>x</w:t>
            </w:r>
            <w:r>
              <w:rPr>
                <w:color w:val="2E74B5" w:themeColor="accent1" w:themeShade="BF"/>
                <w:sz w:val="21"/>
                <w:lang w:val="es-CO"/>
              </w:rPr>
              <w:t xml:space="preserve">,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cosx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 xml:space="preserve">,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sinx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 xml:space="preserve">,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ln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>(1+x) (MF19)</w:t>
            </w:r>
            <w:r w:rsidR="00BF0A72">
              <w:rPr>
                <w:color w:val="2E74B5" w:themeColor="accent1" w:themeShade="BF"/>
                <w:sz w:val="21"/>
                <w:lang w:val="es-CO"/>
              </w:rPr>
              <w:t>, 1/(1-x)</w:t>
            </w:r>
          </w:p>
          <w:p w14:paraId="3D0814A7" w14:textId="1DA69C28" w:rsidR="00304FCC" w:rsidRPr="00D46ED3" w:rsidRDefault="00304FCC" w:rsidP="00304FCC">
            <w:pPr>
              <w:rPr>
                <w:color w:val="2E74B5" w:themeColor="accent1" w:themeShade="BF"/>
                <w:sz w:val="21"/>
              </w:rPr>
            </w:pPr>
            <w:r w:rsidRPr="00D46ED3">
              <w:rPr>
                <w:color w:val="2E74B5" w:themeColor="accent1" w:themeShade="BF"/>
                <w:sz w:val="21"/>
              </w:rPr>
              <w:t>Visual: graphs pp. 489-490</w:t>
            </w:r>
          </w:p>
          <w:p w14:paraId="020AD223" w14:textId="61B48276" w:rsidR="00D46ED3" w:rsidRDefault="00D46ED3" w:rsidP="00D46ED3">
            <w:pPr>
              <w:rPr>
                <w:color w:val="2E74B5" w:themeColor="accent1" w:themeShade="BF"/>
                <w:sz w:val="21"/>
              </w:rPr>
            </w:pPr>
            <w:r w:rsidRPr="00D46ED3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64FDE146" w14:textId="44A7B52C" w:rsidR="00D46ED3" w:rsidRDefault="00D46ED3" w:rsidP="00D46ED3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Find required derivatives</w:t>
            </w:r>
          </w:p>
          <w:p w14:paraId="70DE2E66" w14:textId="7A88DB10" w:rsidR="00D46ED3" w:rsidRDefault="00D46ED3" w:rsidP="00D46ED3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Calc derivatives at x= 0</w:t>
            </w:r>
          </w:p>
          <w:p w14:paraId="2336D071" w14:textId="642477E8" w:rsidR="00D46ED3" w:rsidRPr="00D46ED3" w:rsidRDefault="00D46ED3" w:rsidP="00D46ED3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>Structure each term with 3 components: derivative value, x component, factorial component</w:t>
            </w:r>
          </w:p>
          <w:p w14:paraId="1BC15CD0" w14:textId="4C7F1CB5" w:rsidR="00304FCC" w:rsidRPr="00D46ED3" w:rsidRDefault="00D46ED3" w:rsidP="00D46ED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[non-9231 application</w:t>
            </w:r>
            <w:r w:rsidRPr="00D46ED3">
              <w:rPr>
                <w:color w:val="2E74B5" w:themeColor="accent1" w:themeShade="BF"/>
                <w:sz w:val="21"/>
              </w:rPr>
              <w:t>: integration by converting to polynomial series – for d/dx</w:t>
            </w:r>
            <w:r>
              <w:rPr>
                <w:color w:val="2E74B5" w:themeColor="accent1" w:themeShade="BF"/>
                <w:sz w:val="21"/>
              </w:rPr>
              <w:t>(sin x), differentiate each term of Mac series – result is Mac series of cos x]</w:t>
            </w:r>
          </w:p>
          <w:p w14:paraId="41722A6D" w14:textId="42D55FD2" w:rsidR="00E620AB" w:rsidRPr="00BF0A72" w:rsidRDefault="00E620AB" w:rsidP="00664C9F">
            <w:pPr>
              <w:rPr>
                <w:color w:val="2E74B5" w:themeColor="accent1" w:themeShade="BF"/>
                <w:sz w:val="21"/>
              </w:rPr>
            </w:pPr>
            <w:r w:rsidRPr="00BF0A72">
              <w:rPr>
                <w:color w:val="2E74B5" w:themeColor="accent1" w:themeShade="BF"/>
                <w:sz w:val="21"/>
              </w:rPr>
              <w:t>Ex 21.12</w:t>
            </w:r>
          </w:p>
          <w:p w14:paraId="437D2119" w14:textId="232A7204" w:rsidR="00D46ED3" w:rsidRPr="00D46ED3" w:rsidRDefault="00D46ED3" w:rsidP="00664C9F">
            <w:pPr>
              <w:rPr>
                <w:color w:val="2E74B5" w:themeColor="accent1" w:themeShade="BF"/>
                <w:sz w:val="21"/>
              </w:rPr>
            </w:pPr>
            <w:r w:rsidRPr="00D46ED3">
              <w:rPr>
                <w:color w:val="2E74B5" w:themeColor="accent1" w:themeShade="BF"/>
                <w:sz w:val="21"/>
              </w:rPr>
              <w:t>Application: estimated value of function at a given x value</w:t>
            </w:r>
          </w:p>
          <w:p w14:paraId="7A305C1B" w14:textId="77777777" w:rsidR="00E620AB" w:rsidRPr="00BF0A72" w:rsidRDefault="00E620AB" w:rsidP="00664C9F">
            <w:pPr>
              <w:rPr>
                <w:color w:val="2E74B5" w:themeColor="accent1" w:themeShade="BF"/>
                <w:sz w:val="21"/>
              </w:rPr>
            </w:pPr>
            <w:r w:rsidRPr="00BF0A72">
              <w:rPr>
                <w:color w:val="2E74B5" w:themeColor="accent1" w:themeShade="BF"/>
                <w:sz w:val="21"/>
              </w:rPr>
              <w:t>Ex 21.13</w:t>
            </w:r>
          </w:p>
          <w:p w14:paraId="2E64D2A7" w14:textId="213A4ED8" w:rsidR="00D46ED3" w:rsidRPr="00D46ED3" w:rsidRDefault="00D46ED3" w:rsidP="00664C9F">
            <w:pPr>
              <w:rPr>
                <w:color w:val="2E74B5" w:themeColor="accent1" w:themeShade="BF"/>
                <w:sz w:val="21"/>
              </w:rPr>
            </w:pPr>
            <w:r w:rsidRPr="00D46ED3">
              <w:rPr>
                <w:color w:val="2E74B5" w:themeColor="accent1" w:themeShade="BF"/>
                <w:sz w:val="21"/>
              </w:rPr>
              <w:t>Application: composite functions</w:t>
            </w:r>
          </w:p>
          <w:p w14:paraId="597CD326" w14:textId="6158D57A" w:rsidR="00E620AB" w:rsidRDefault="00E620AB" w:rsidP="00664C9F">
            <w:pPr>
              <w:rPr>
                <w:color w:val="2E74B5" w:themeColor="accent1" w:themeShade="BF"/>
                <w:sz w:val="21"/>
              </w:rPr>
            </w:pPr>
            <w:r w:rsidRPr="00D46ED3">
              <w:rPr>
                <w:color w:val="2E74B5" w:themeColor="accent1" w:themeShade="BF"/>
                <w:sz w:val="21"/>
              </w:rPr>
              <w:t>Ex. 21.14</w:t>
            </w:r>
            <w:r w:rsidR="00D46ED3" w:rsidRPr="00D46ED3">
              <w:rPr>
                <w:color w:val="2E74B5" w:themeColor="accent1" w:themeShade="BF"/>
                <w:sz w:val="21"/>
              </w:rPr>
              <w:t xml:space="preserve">: find </w:t>
            </w:r>
            <w:proofErr w:type="spellStart"/>
            <w:r w:rsidR="00D46ED3" w:rsidRPr="00D46ED3">
              <w:rPr>
                <w:color w:val="2E74B5" w:themeColor="accent1" w:themeShade="BF"/>
                <w:sz w:val="21"/>
              </w:rPr>
              <w:t>tanx</w:t>
            </w:r>
            <w:proofErr w:type="spellEnd"/>
            <w:r w:rsidR="00D46ED3" w:rsidRPr="00D46ED3">
              <w:rPr>
                <w:color w:val="2E74B5" w:themeColor="accent1" w:themeShade="BF"/>
                <w:sz w:val="21"/>
              </w:rPr>
              <w:t xml:space="preserve">, replace x with </w:t>
            </w:r>
            <w:r w:rsidR="00D46ED3">
              <w:rPr>
                <w:color w:val="2E74B5" w:themeColor="accent1" w:themeShade="BF"/>
                <w:sz w:val="21"/>
              </w:rPr>
              <w:t>½ x</w:t>
            </w:r>
          </w:p>
          <w:p w14:paraId="2EF66A77" w14:textId="3E5F315F" w:rsidR="007A4F6E" w:rsidRPr="00D46ED3" w:rsidRDefault="007A4F6E" w:rsidP="007A4F6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ln(</w:t>
            </w:r>
            <w:proofErr w:type="spellStart"/>
            <w:r>
              <w:rPr>
                <w:color w:val="2E74B5" w:themeColor="accent1" w:themeShade="BF"/>
                <w:sz w:val="21"/>
              </w:rPr>
              <w:t>secx</w:t>
            </w:r>
            <w:proofErr w:type="spellEnd"/>
            <w:r>
              <w:rPr>
                <w:color w:val="2E74B5" w:themeColor="accent1" w:themeShade="BF"/>
                <w:sz w:val="21"/>
              </w:rPr>
              <w:t>) – need to “see it”</w:t>
            </w:r>
          </w:p>
          <w:p w14:paraId="54EF65D8" w14:textId="77777777" w:rsidR="00D46ED3" w:rsidRPr="00D46ED3" w:rsidRDefault="00D46ED3" w:rsidP="00664C9F">
            <w:pPr>
              <w:rPr>
                <w:color w:val="2E74B5" w:themeColor="accent1" w:themeShade="BF"/>
                <w:sz w:val="21"/>
              </w:rPr>
            </w:pPr>
          </w:p>
          <w:p w14:paraId="6E3BF5B7" w14:textId="109141D2" w:rsidR="00E620AB" w:rsidRPr="007A4F6E" w:rsidRDefault="00E620AB" w:rsidP="00664C9F">
            <w:pPr>
              <w:rPr>
                <w:color w:val="2E74B5" w:themeColor="accent1" w:themeShade="BF"/>
                <w:sz w:val="21"/>
              </w:rPr>
            </w:pPr>
            <w:r w:rsidRPr="007A4F6E">
              <w:rPr>
                <w:color w:val="2E74B5" w:themeColor="accent1" w:themeShade="BF"/>
                <w:sz w:val="21"/>
              </w:rPr>
              <w:t>Ex 21.15</w:t>
            </w:r>
            <w:r w:rsidR="0003447E">
              <w:rPr>
                <w:color w:val="2E74B5" w:themeColor="accent1" w:themeShade="BF"/>
                <w:sz w:val="21"/>
              </w:rPr>
              <w:t xml:space="preserve">: term-to-term differentiation “shortcut” (also see </w:t>
            </w:r>
            <w:proofErr w:type="spellStart"/>
            <w:r w:rsidR="0003447E">
              <w:rPr>
                <w:color w:val="2E74B5" w:themeColor="accent1" w:themeShade="BF"/>
                <w:sz w:val="21"/>
              </w:rPr>
              <w:t>tanx</w:t>
            </w:r>
            <w:proofErr w:type="spellEnd"/>
            <w:r w:rsidR="0003447E">
              <w:rPr>
                <w:color w:val="2E74B5" w:themeColor="accent1" w:themeShade="BF"/>
                <w:sz w:val="21"/>
              </w:rPr>
              <w:t xml:space="preserve"> pp. 492-493)</w:t>
            </w:r>
          </w:p>
          <w:p w14:paraId="4248800F" w14:textId="53B089B2" w:rsidR="00E620AB" w:rsidRPr="00304FCC" w:rsidRDefault="00E620AB" w:rsidP="00664C9F">
            <w:pPr>
              <w:rPr>
                <w:color w:val="2E74B5" w:themeColor="accent1" w:themeShade="BF"/>
                <w:sz w:val="21"/>
                <w:lang w:val="es-CO"/>
              </w:rPr>
            </w:pPr>
            <w:r w:rsidRPr="00304FCC">
              <w:rPr>
                <w:color w:val="2E74B5" w:themeColor="accent1" w:themeShade="BF"/>
                <w:sz w:val="21"/>
                <w:lang w:val="es-CO"/>
              </w:rPr>
              <w:t>21D</w:t>
            </w:r>
            <w:r w:rsidR="00E0670A"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r w:rsidR="00C84C39">
              <w:rPr>
                <w:color w:val="2E74B5" w:themeColor="accent1" w:themeShade="BF"/>
                <w:sz w:val="21"/>
                <w:lang w:val="es-CO"/>
              </w:rPr>
              <w:t>2, 3, 4, 5, 6, 7</w:t>
            </w:r>
            <w:bookmarkStart w:id="0" w:name="_GoBack"/>
            <w:bookmarkEnd w:id="0"/>
          </w:p>
        </w:tc>
        <w:tc>
          <w:tcPr>
            <w:tcW w:w="3240" w:type="dxa"/>
            <w:gridSpan w:val="2"/>
          </w:tcPr>
          <w:p w14:paraId="726590D2" w14:textId="7FCBAD73" w:rsidR="00664C9F" w:rsidRPr="00304FCC" w:rsidRDefault="00664C9F" w:rsidP="00664C9F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5E22DE3B" w:rsidR="00664C9F" w:rsidRPr="00671081" w:rsidRDefault="00664C9F" w:rsidP="00664C9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735"/>
    <w:multiLevelType w:val="hybridMultilevel"/>
    <w:tmpl w:val="FB14D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3447E"/>
    <w:rsid w:val="00035113"/>
    <w:rsid w:val="00043ED7"/>
    <w:rsid w:val="0005031C"/>
    <w:rsid w:val="00050743"/>
    <w:rsid w:val="0005647C"/>
    <w:rsid w:val="000841FA"/>
    <w:rsid w:val="000A3929"/>
    <w:rsid w:val="000B483D"/>
    <w:rsid w:val="000B7956"/>
    <w:rsid w:val="000C52E7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04FCC"/>
    <w:rsid w:val="003232CB"/>
    <w:rsid w:val="0034644E"/>
    <w:rsid w:val="003608D7"/>
    <w:rsid w:val="00366F69"/>
    <w:rsid w:val="00367E83"/>
    <w:rsid w:val="00382BA9"/>
    <w:rsid w:val="003A037B"/>
    <w:rsid w:val="003B31AC"/>
    <w:rsid w:val="003B6AEB"/>
    <w:rsid w:val="003D3B24"/>
    <w:rsid w:val="003D5997"/>
    <w:rsid w:val="003E2814"/>
    <w:rsid w:val="003F30CC"/>
    <w:rsid w:val="00405986"/>
    <w:rsid w:val="00463A21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15F65"/>
    <w:rsid w:val="00562F1C"/>
    <w:rsid w:val="00576504"/>
    <w:rsid w:val="00586F34"/>
    <w:rsid w:val="005973FB"/>
    <w:rsid w:val="005A6CE6"/>
    <w:rsid w:val="005B55E6"/>
    <w:rsid w:val="005B6E92"/>
    <w:rsid w:val="005D42DD"/>
    <w:rsid w:val="005F58E0"/>
    <w:rsid w:val="00634CE6"/>
    <w:rsid w:val="00647389"/>
    <w:rsid w:val="00664C9F"/>
    <w:rsid w:val="00671081"/>
    <w:rsid w:val="00685E44"/>
    <w:rsid w:val="006D5AFB"/>
    <w:rsid w:val="006E21B3"/>
    <w:rsid w:val="006F66F0"/>
    <w:rsid w:val="00751A39"/>
    <w:rsid w:val="00766B9D"/>
    <w:rsid w:val="0078426F"/>
    <w:rsid w:val="0079473B"/>
    <w:rsid w:val="007A2EE3"/>
    <w:rsid w:val="007A4F6E"/>
    <w:rsid w:val="007B39A6"/>
    <w:rsid w:val="007C086F"/>
    <w:rsid w:val="007D5F2E"/>
    <w:rsid w:val="008014E0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3EF7"/>
    <w:rsid w:val="00964AE4"/>
    <w:rsid w:val="009669B6"/>
    <w:rsid w:val="00995FB4"/>
    <w:rsid w:val="009B34AF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54A1D"/>
    <w:rsid w:val="00B74186"/>
    <w:rsid w:val="00B85215"/>
    <w:rsid w:val="00B903F6"/>
    <w:rsid w:val="00B94087"/>
    <w:rsid w:val="00BA4594"/>
    <w:rsid w:val="00BB2153"/>
    <w:rsid w:val="00BC0B83"/>
    <w:rsid w:val="00BD5F9C"/>
    <w:rsid w:val="00BF0A72"/>
    <w:rsid w:val="00BF137A"/>
    <w:rsid w:val="00BF54AD"/>
    <w:rsid w:val="00C17FC9"/>
    <w:rsid w:val="00C309C1"/>
    <w:rsid w:val="00C34AD5"/>
    <w:rsid w:val="00C373F8"/>
    <w:rsid w:val="00C806BB"/>
    <w:rsid w:val="00C84C39"/>
    <w:rsid w:val="00CA4D0C"/>
    <w:rsid w:val="00CB0199"/>
    <w:rsid w:val="00CB4B0A"/>
    <w:rsid w:val="00CF1F0B"/>
    <w:rsid w:val="00CF4F4D"/>
    <w:rsid w:val="00D02EFF"/>
    <w:rsid w:val="00D46ED3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0A"/>
    <w:rsid w:val="00E0677D"/>
    <w:rsid w:val="00E13357"/>
    <w:rsid w:val="00E40A47"/>
    <w:rsid w:val="00E4361B"/>
    <w:rsid w:val="00E540A3"/>
    <w:rsid w:val="00E620AB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16</cp:revision>
  <cp:lastPrinted>2019-07-05T07:41:00Z</cp:lastPrinted>
  <dcterms:created xsi:type="dcterms:W3CDTF">2021-05-03T07:09:00Z</dcterms:created>
  <dcterms:modified xsi:type="dcterms:W3CDTF">2021-06-04T07:05:00Z</dcterms:modified>
</cp:coreProperties>
</file>