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007CA425" w:rsidR="006D5AFB" w:rsidRPr="006D5AFB" w:rsidRDefault="003A037B" w:rsidP="00323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F12F3">
              <w:rPr>
                <w:sz w:val="24"/>
                <w:szCs w:val="24"/>
              </w:rPr>
              <w:t>/</w:t>
            </w:r>
            <w:r w:rsidR="00E0677D">
              <w:rPr>
                <w:sz w:val="24"/>
                <w:szCs w:val="24"/>
              </w:rPr>
              <w:t xml:space="preserve">9231 Further </w:t>
            </w:r>
            <w:r w:rsidR="003232CB">
              <w:rPr>
                <w:sz w:val="24"/>
                <w:szCs w:val="24"/>
              </w:rPr>
              <w:t>Pure Mathematics 2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63DCA19A" w:rsidR="006D5AFB" w:rsidRPr="006D5AFB" w:rsidRDefault="00BA4594" w:rsidP="00766B9D">
            <w:pPr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3C333E6B" w:rsidR="006D5AFB" w:rsidRPr="006D5AFB" w:rsidRDefault="005172FD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63A1A36F" w:rsidR="006D5AFB" w:rsidRPr="006D5AFB" w:rsidRDefault="00BA4594" w:rsidP="006D5AFB">
            <w:pPr>
              <w:jc w:val="center"/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011A6F0E" w:rsidR="00480920" w:rsidRPr="00671081" w:rsidRDefault="00E0677D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  <w:r w:rsidR="00DA4FA8">
              <w:rPr>
                <w:color w:val="2E74B5" w:themeColor="accent1" w:themeShade="BF"/>
              </w:rPr>
              <w:t>, 2</w:t>
            </w:r>
          </w:p>
        </w:tc>
        <w:tc>
          <w:tcPr>
            <w:tcW w:w="1890" w:type="dxa"/>
          </w:tcPr>
          <w:p w14:paraId="0E05594C" w14:textId="77777777" w:rsidR="00D02EFF" w:rsidRDefault="004A740C" w:rsidP="00562F1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22 Integration</w:t>
            </w:r>
          </w:p>
          <w:p w14:paraId="39AAF269" w14:textId="6C72A887" w:rsidR="004A740C" w:rsidRPr="00EE572D" w:rsidRDefault="004A740C" w:rsidP="005172FD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22.</w:t>
            </w:r>
            <w:r w:rsidR="005172FD">
              <w:rPr>
                <w:color w:val="2E74B5" w:themeColor="accent1" w:themeShade="BF"/>
              </w:rPr>
              <w:t>3 Arc lengths and surface areas p. 509</w:t>
            </w:r>
          </w:p>
        </w:tc>
        <w:tc>
          <w:tcPr>
            <w:tcW w:w="2880" w:type="dxa"/>
          </w:tcPr>
          <w:p w14:paraId="639F2120" w14:textId="1A15764F" w:rsidR="00895218" w:rsidRPr="00E8796F" w:rsidRDefault="00D02EFF" w:rsidP="00895218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Topic </w:t>
            </w:r>
            <w:r w:rsidR="004A740C">
              <w:rPr>
                <w:color w:val="2E74B5" w:themeColor="accent1" w:themeShade="BF"/>
              </w:rPr>
              <w:t>4 Integration</w:t>
            </w:r>
            <w:r w:rsidR="00895218">
              <w:rPr>
                <w:color w:val="2E74B5" w:themeColor="accent1" w:themeShade="BF"/>
              </w:rPr>
              <w:t>: U</w:t>
            </w:r>
            <w:r w:rsidR="00895218" w:rsidRPr="00E8796F">
              <w:rPr>
                <w:color w:val="2E74B5" w:themeColor="accent1" w:themeShade="BF"/>
              </w:rPr>
              <w:t>se integration to find</w:t>
            </w:r>
          </w:p>
          <w:p w14:paraId="10B1B9B7" w14:textId="62F2F1AC" w:rsidR="00895218" w:rsidRPr="00E8796F" w:rsidRDefault="00895218" w:rsidP="00895218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– </w:t>
            </w:r>
            <w:r w:rsidRPr="00E8796F">
              <w:rPr>
                <w:color w:val="2E74B5" w:themeColor="accent1" w:themeShade="BF"/>
              </w:rPr>
              <w:t>arc lengths for curves with equations in</w:t>
            </w:r>
            <w:r>
              <w:rPr>
                <w:color w:val="2E74B5" w:themeColor="accent1" w:themeShade="BF"/>
              </w:rPr>
              <w:t xml:space="preserve"> </w:t>
            </w:r>
            <w:r w:rsidRPr="00E8796F">
              <w:rPr>
                <w:color w:val="2E74B5" w:themeColor="accent1" w:themeShade="BF"/>
              </w:rPr>
              <w:t>Cartesian coordinates, including the use of a</w:t>
            </w:r>
            <w:r>
              <w:rPr>
                <w:color w:val="2E74B5" w:themeColor="accent1" w:themeShade="BF"/>
              </w:rPr>
              <w:t xml:space="preserve"> </w:t>
            </w:r>
            <w:r w:rsidRPr="00E8796F">
              <w:rPr>
                <w:color w:val="2E74B5" w:themeColor="accent1" w:themeShade="BF"/>
              </w:rPr>
              <w:t>parameter, or in polar coordinates</w:t>
            </w:r>
          </w:p>
          <w:p w14:paraId="6E228A79" w14:textId="626FE60B" w:rsidR="00CF1F0B" w:rsidRPr="00CF4F4D" w:rsidRDefault="00895218" w:rsidP="00895218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– </w:t>
            </w:r>
            <w:proofErr w:type="gramStart"/>
            <w:r w:rsidRPr="00895218">
              <w:rPr>
                <w:color w:val="2E74B5" w:themeColor="accent1" w:themeShade="BF"/>
              </w:rPr>
              <w:t>surface</w:t>
            </w:r>
            <w:proofErr w:type="gramEnd"/>
            <w:r w:rsidRPr="00895218">
              <w:rPr>
                <w:color w:val="2E74B5" w:themeColor="accent1" w:themeShade="BF"/>
              </w:rPr>
              <w:t xml:space="preserve"> areas of revolution about one of the</w:t>
            </w:r>
            <w:r>
              <w:rPr>
                <w:color w:val="2E74B5" w:themeColor="accent1" w:themeShade="BF"/>
              </w:rPr>
              <w:t xml:space="preserve"> </w:t>
            </w:r>
            <w:r w:rsidRPr="00E8796F">
              <w:rPr>
                <w:color w:val="2E74B5" w:themeColor="accent1" w:themeShade="BF"/>
              </w:rPr>
              <w:t>axes for curves with equations in Ca</w:t>
            </w:r>
            <w:r>
              <w:rPr>
                <w:color w:val="2E74B5" w:themeColor="accent1" w:themeShade="BF"/>
              </w:rPr>
              <w:t xml:space="preserve">rtesian </w:t>
            </w:r>
            <w:r w:rsidRPr="00E8796F">
              <w:rPr>
                <w:color w:val="2E74B5" w:themeColor="accent1" w:themeShade="BF"/>
              </w:rPr>
              <w:t>coor</w:t>
            </w:r>
            <w:r>
              <w:rPr>
                <w:color w:val="2E74B5" w:themeColor="accent1" w:themeShade="BF"/>
              </w:rPr>
              <w:t xml:space="preserve">dinates, including the use of a </w:t>
            </w:r>
            <w:r w:rsidRPr="00E8796F">
              <w:rPr>
                <w:color w:val="2E74B5" w:themeColor="accent1" w:themeShade="BF"/>
              </w:rPr>
              <w:t>parameter.</w:t>
            </w:r>
          </w:p>
        </w:tc>
        <w:tc>
          <w:tcPr>
            <w:tcW w:w="3780" w:type="dxa"/>
            <w:gridSpan w:val="2"/>
          </w:tcPr>
          <w:p w14:paraId="34C62C3C" w14:textId="77777777" w:rsidR="00EA559C" w:rsidRPr="00E25A87" w:rsidRDefault="00E25A87" w:rsidP="00E25A87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s=</m:t>
                </m:r>
                <m:nary>
                  <m:naryPr>
                    <m:limLoc m:val="subSup"/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x1</m:t>
                    </m:r>
                  </m:sub>
                  <m:sup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x2</m:t>
                    </m:r>
                  </m:sup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Calibri"/>
                            <w:i/>
                            <w:color w:val="2E74B5" w:themeColor="accent1" w:themeShade="BF"/>
                            <w:sz w:val="21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Calibri"/>
                                <w:i/>
                                <w:color w:val="2E74B5" w:themeColor="accent1" w:themeShade="BF"/>
                                <w:sz w:val="21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Calibri"/>
                                    <w:i/>
                                    <w:color w:val="2E74B5" w:themeColor="accent1" w:themeShade="BF"/>
                                    <w:sz w:val="21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Calibri"/>
                                        <w:i/>
                                        <w:color w:val="2E74B5" w:themeColor="accent1" w:themeShade="BF"/>
                                        <w:sz w:val="21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Calibri"/>
                                        <w:color w:val="2E74B5" w:themeColor="accent1" w:themeShade="BF"/>
                                        <w:sz w:val="21"/>
                                      </w:rPr>
                                      <m:t>dy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Calibri"/>
                                        <w:color w:val="2E74B5" w:themeColor="accent1" w:themeShade="BF"/>
                                        <w:sz w:val="21"/>
                                      </w:rPr>
                                      <m:t>dx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 w:cs="Calibri"/>
                                <w:color w:val="2E74B5" w:themeColor="accent1" w:themeShade="BF"/>
                                <w:sz w:val="21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dx</m:t>
                    </m:r>
                  </m:e>
                </m:nary>
              </m:oMath>
            </m:oMathPara>
          </w:p>
          <w:p w14:paraId="1F2BD8E3" w14:textId="77777777" w:rsidR="00E25A87" w:rsidRDefault="00E25A87" w:rsidP="00E25A87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Concept: hypotenuse of right triangle</w:t>
            </w:r>
          </w:p>
          <w:p w14:paraId="3F2B3903" w14:textId="3D5AE919" w:rsidR="00E25A87" w:rsidRDefault="00E25A87" w:rsidP="00344254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Derivation p. 509</w:t>
            </w:r>
          </w:p>
          <w:p w14:paraId="1ED255D9" w14:textId="7C7C5B46" w:rsidR="00E25A87" w:rsidRDefault="00E25A87" w:rsidP="00344254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22.14: algebra to a know</w:t>
            </w:r>
            <w:r w:rsidR="0034425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n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integration</w:t>
            </w:r>
          </w:p>
          <w:p w14:paraId="5DE0AA16" w14:textId="0EEA520C" w:rsidR="00E25A87" w:rsidRDefault="00E25A87" w:rsidP="00E25A87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Parametric form, “sides” are dx/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dt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</w:t>
            </w:r>
            <w:r w:rsidR="00344254" w:rsidRPr="00344254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and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dy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/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dt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</w:t>
            </w:r>
            <w:r w:rsidR="00344254" w:rsidRPr="00344254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</w:p>
          <w:p w14:paraId="76A10A28" w14:textId="5EAA2EB2" w:rsidR="00344254" w:rsidRDefault="00344254" w:rsidP="00344254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Derivation p. 510</w:t>
            </w:r>
          </w:p>
          <w:p w14:paraId="60986D2D" w14:textId="49C68331" w:rsidR="00E25A87" w:rsidRDefault="00E25A87" w:rsidP="00E25A87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Ex 22.15: </w:t>
            </w:r>
            <w:r w:rsidR="00F27A46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sin 2t = 2sint cost</w:t>
            </w:r>
            <w:r w:rsidR="0034425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algebra to a known integration</w:t>
            </w:r>
          </w:p>
          <w:p w14:paraId="5FA3C4E4" w14:textId="0B50FF32" w:rsidR="00344254" w:rsidRDefault="00344254" w:rsidP="00344254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Polar form, “sides” are r</w:t>
            </w:r>
            <w:r w:rsidRPr="00344254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and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dr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/dθ</w:t>
            </w:r>
            <w:r w:rsidRPr="00344254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</w:p>
          <w:p w14:paraId="654324BA" w14:textId="77777777" w:rsidR="00F27A46" w:rsidRDefault="00344254" w:rsidP="00344254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Derivation p. 511</w:t>
            </w:r>
          </w:p>
          <w:p w14:paraId="5A4939DD" w14:textId="77777777" w:rsidR="00344254" w:rsidRDefault="004F1C6D" w:rsidP="00344254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22.16</w:t>
            </w:r>
          </w:p>
          <w:p w14:paraId="463DBBA9" w14:textId="04F992E2" w:rsidR="004F1C6D" w:rsidRDefault="004F1C6D" w:rsidP="00314435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Tip p. 513: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sinh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vs tan, </w:t>
            </w:r>
            <w:r w:rsidRPr="00314435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S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cosh</w:t>
            </w:r>
            <w:r w:rsidR="00314435" w:rsidRPr="00314435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vs </w:t>
            </w:r>
            <w:r w:rsidRPr="00314435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S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sec</w:t>
            </w:r>
            <w:r w:rsidR="00314435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3</w:t>
            </w:r>
          </w:p>
          <w:p w14:paraId="2B078A8B" w14:textId="77777777" w:rsidR="004F1C6D" w:rsidRDefault="004F1C6D" w:rsidP="00344254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</w:p>
          <w:p w14:paraId="2EE042A0" w14:textId="2BBCF92B" w:rsidR="004F1C6D" w:rsidRDefault="004F1C6D" w:rsidP="00344254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Surface area</w:t>
            </w:r>
          </w:p>
          <w:p w14:paraId="1585B024" w14:textId="023FF1F4" w:rsidR="004F1C6D" w:rsidRPr="00E25A87" w:rsidRDefault="004F1C6D" w:rsidP="004F1C6D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S=2π</m:t>
                </m:r>
                <m:nary>
                  <m:naryPr>
                    <m:limLoc m:val="subSup"/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x1</m:t>
                    </m:r>
                  </m:sub>
                  <m:sup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x2</m:t>
                    </m:r>
                  </m:sup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Calibri"/>
                            <w:i/>
                            <w:color w:val="2E74B5" w:themeColor="accent1" w:themeShade="BF"/>
                            <w:sz w:val="21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Calibri"/>
                                <w:i/>
                                <w:color w:val="2E74B5" w:themeColor="accent1" w:themeShade="BF"/>
                                <w:sz w:val="21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Calibri"/>
                                    <w:i/>
                                    <w:color w:val="2E74B5" w:themeColor="accent1" w:themeShade="BF"/>
                                    <w:sz w:val="21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Calibri"/>
                                        <w:i/>
                                        <w:color w:val="2E74B5" w:themeColor="accent1" w:themeShade="BF"/>
                                        <w:sz w:val="21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Calibri"/>
                                        <w:color w:val="2E74B5" w:themeColor="accent1" w:themeShade="BF"/>
                                        <w:sz w:val="21"/>
                                      </w:rPr>
                                      <m:t>dy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Calibri"/>
                                        <w:color w:val="2E74B5" w:themeColor="accent1" w:themeShade="BF"/>
                                        <w:sz w:val="21"/>
                                      </w:rPr>
                                      <m:t>dx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 w:cs="Calibri"/>
                                <w:color w:val="2E74B5" w:themeColor="accent1" w:themeShade="BF"/>
                                <w:sz w:val="21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dx</m:t>
                    </m:r>
                  </m:e>
                </m:nary>
              </m:oMath>
            </m:oMathPara>
          </w:p>
          <w:p w14:paraId="0BAFAA23" w14:textId="569E6A1F" w:rsidR="004F1C6D" w:rsidRDefault="004F1C6D" w:rsidP="00344254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22.17</w:t>
            </w:r>
          </w:p>
          <w:p w14:paraId="165A08E5" w14:textId="67D8294C" w:rsidR="004F1C6D" w:rsidRDefault="004F1C6D" w:rsidP="00344254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22.18</w:t>
            </w:r>
          </w:p>
          <w:p w14:paraId="75849CEC" w14:textId="21A98938" w:rsidR="00314435" w:rsidRDefault="00314435" w:rsidP="00344254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Parametric form, like arc length</w:t>
            </w:r>
          </w:p>
          <w:p w14:paraId="6AB54058" w14:textId="4D4DA34A" w:rsidR="004F1C6D" w:rsidRPr="00314435" w:rsidRDefault="00314435" w:rsidP="00314435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 w:rsidRPr="00314435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Ex 22.19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: u =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cos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2</w:t>
            </w:r>
            <w:r w:rsidRPr="00314435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t, du =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-2sin 2</w:t>
            </w:r>
            <w:r w:rsidRPr="00314435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t </w:t>
            </w:r>
            <w:proofErr w:type="spellStart"/>
            <w:r w:rsidRPr="00314435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dt</w:t>
            </w:r>
            <w:proofErr w:type="spellEnd"/>
          </w:p>
          <w:p w14:paraId="3E27261D" w14:textId="31CC0EB2" w:rsidR="004F1C6D" w:rsidRPr="00CF1F0B" w:rsidRDefault="004F1C6D" w:rsidP="00416EB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22C 1, 2, 4, 5, 7, 8 (see tip p. 513,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sinh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vs tan)</w:t>
            </w:r>
            <w:bookmarkStart w:id="0" w:name="_GoBack"/>
            <w:bookmarkEnd w:id="0"/>
          </w:p>
        </w:tc>
        <w:tc>
          <w:tcPr>
            <w:tcW w:w="3240" w:type="dxa"/>
            <w:gridSpan w:val="2"/>
          </w:tcPr>
          <w:p w14:paraId="7EEDFE93" w14:textId="72E90D17" w:rsidR="00A24836" w:rsidRPr="003A037B" w:rsidRDefault="00A24836" w:rsidP="00480920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0B4C37A7" w14:textId="03E33F1C" w:rsidR="00480920" w:rsidRPr="00671081" w:rsidRDefault="00480920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3A037B" w:rsidRPr="00671081" w14:paraId="338605A9" w14:textId="77777777" w:rsidTr="002421DB">
        <w:tc>
          <w:tcPr>
            <w:tcW w:w="805" w:type="dxa"/>
          </w:tcPr>
          <w:p w14:paraId="7C41DFFF" w14:textId="40B1D3E2" w:rsidR="003A037B" w:rsidRPr="00671081" w:rsidRDefault="003A037B" w:rsidP="003A037B">
            <w:pPr>
              <w:rPr>
                <w:color w:val="2E74B5" w:themeColor="accent1" w:themeShade="BF"/>
              </w:rPr>
            </w:pPr>
          </w:p>
        </w:tc>
        <w:tc>
          <w:tcPr>
            <w:tcW w:w="1890" w:type="dxa"/>
          </w:tcPr>
          <w:p w14:paraId="063B2889" w14:textId="62D504F4" w:rsidR="003A037B" w:rsidRPr="007A2EE3" w:rsidRDefault="003A037B" w:rsidP="003A037B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268EBCA7" w14:textId="212BFE8D" w:rsidR="003A037B" w:rsidRPr="00CF4F4D" w:rsidRDefault="003A037B" w:rsidP="003A037B">
            <w:pPr>
              <w:rPr>
                <w:color w:val="2E74B5" w:themeColor="accent1" w:themeShade="BF"/>
              </w:rPr>
            </w:pPr>
          </w:p>
        </w:tc>
        <w:tc>
          <w:tcPr>
            <w:tcW w:w="3780" w:type="dxa"/>
            <w:gridSpan w:val="2"/>
          </w:tcPr>
          <w:p w14:paraId="4CE824F0" w14:textId="2FD12F01" w:rsidR="003A037B" w:rsidRPr="00213BC9" w:rsidRDefault="003A037B" w:rsidP="00EA559C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00DDF5F7" w14:textId="4B234AD8" w:rsidR="003A037B" w:rsidRPr="00213BC9" w:rsidRDefault="003A037B" w:rsidP="003A037B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E31B1FC" w14:textId="07B07B2F" w:rsidR="003A037B" w:rsidRPr="00671081" w:rsidRDefault="003A037B" w:rsidP="003A037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:rsidRPr="00671081" w14:paraId="4CE6CC68" w14:textId="77777777" w:rsidTr="002421DB">
        <w:tc>
          <w:tcPr>
            <w:tcW w:w="805" w:type="dxa"/>
          </w:tcPr>
          <w:p w14:paraId="44B80805" w14:textId="487EB9FC" w:rsidR="00664C9F" w:rsidRPr="00671081" w:rsidRDefault="0025041E" w:rsidP="00664C9F">
            <w:pPr>
              <w:rPr>
                <w:color w:val="2E74B5" w:themeColor="accent1" w:themeShade="BF"/>
              </w:rPr>
            </w:pPr>
            <w:r>
              <w:br w:type="page"/>
            </w:r>
            <w:r w:rsidR="00664C9F">
              <w:rPr>
                <w:color w:val="2E74B5" w:themeColor="accent1" w:themeShade="BF"/>
              </w:rPr>
              <w:t>3</w:t>
            </w:r>
            <w:r w:rsidR="00DA4FA8">
              <w:rPr>
                <w:color w:val="2E74B5" w:themeColor="accent1" w:themeShade="BF"/>
              </w:rPr>
              <w:t>, 4</w:t>
            </w:r>
          </w:p>
        </w:tc>
        <w:tc>
          <w:tcPr>
            <w:tcW w:w="1890" w:type="dxa"/>
          </w:tcPr>
          <w:p w14:paraId="5F5652FA" w14:textId="77777777" w:rsidR="004A740C" w:rsidRDefault="004A740C" w:rsidP="004A740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22 Integration</w:t>
            </w:r>
          </w:p>
          <w:p w14:paraId="63187A9C" w14:textId="5E7E6483" w:rsidR="00664C9F" w:rsidRPr="007A2EE3" w:rsidRDefault="004A740C" w:rsidP="005172FD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22.</w:t>
            </w:r>
            <w:r w:rsidR="005172FD">
              <w:rPr>
                <w:color w:val="2E74B5" w:themeColor="accent1" w:themeShade="BF"/>
              </w:rPr>
              <w:t>4 Limits of areas p. 515</w:t>
            </w:r>
          </w:p>
        </w:tc>
        <w:tc>
          <w:tcPr>
            <w:tcW w:w="2880" w:type="dxa"/>
          </w:tcPr>
          <w:p w14:paraId="738C12BD" w14:textId="77777777" w:rsidR="00664C9F" w:rsidRDefault="004A740C" w:rsidP="00895218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4 Integration</w:t>
            </w:r>
            <w:r w:rsidR="00895218">
              <w:rPr>
                <w:color w:val="2E74B5" w:themeColor="accent1" w:themeShade="BF"/>
              </w:rPr>
              <w:t>: U</w:t>
            </w:r>
            <w:r w:rsidR="00895218" w:rsidRPr="00E8796F">
              <w:rPr>
                <w:color w:val="2E74B5" w:themeColor="accent1" w:themeShade="BF"/>
              </w:rPr>
              <w:t>nderstand ho</w:t>
            </w:r>
            <w:r w:rsidR="00895218">
              <w:rPr>
                <w:color w:val="2E74B5" w:themeColor="accent1" w:themeShade="BF"/>
              </w:rPr>
              <w:t xml:space="preserve">w the area under a curve may be </w:t>
            </w:r>
            <w:r w:rsidR="00895218" w:rsidRPr="00E8796F">
              <w:rPr>
                <w:color w:val="2E74B5" w:themeColor="accent1" w:themeShade="BF"/>
              </w:rPr>
              <w:t xml:space="preserve">approximated </w:t>
            </w:r>
            <w:r w:rsidR="00895218">
              <w:rPr>
                <w:color w:val="2E74B5" w:themeColor="accent1" w:themeShade="BF"/>
              </w:rPr>
              <w:t xml:space="preserve">by areas of rectangles, and use </w:t>
            </w:r>
            <w:r w:rsidR="00895218" w:rsidRPr="00E8796F">
              <w:rPr>
                <w:color w:val="2E74B5" w:themeColor="accent1" w:themeShade="BF"/>
              </w:rPr>
              <w:t>rectangles to esti</w:t>
            </w:r>
            <w:r w:rsidR="00895218">
              <w:rPr>
                <w:color w:val="2E74B5" w:themeColor="accent1" w:themeShade="BF"/>
              </w:rPr>
              <w:t xml:space="preserve">mate or set </w:t>
            </w:r>
            <w:r w:rsidR="00895218">
              <w:rPr>
                <w:color w:val="2E74B5" w:themeColor="accent1" w:themeShade="BF"/>
              </w:rPr>
              <w:lastRenderedPageBreak/>
              <w:t xml:space="preserve">bounds for the area under a curve or to derive </w:t>
            </w:r>
            <w:r w:rsidR="00895218" w:rsidRPr="00E8796F">
              <w:rPr>
                <w:color w:val="2E74B5" w:themeColor="accent1" w:themeShade="BF"/>
              </w:rPr>
              <w:t>inequalities or</w:t>
            </w:r>
            <w:r w:rsidR="00895218">
              <w:rPr>
                <w:color w:val="2E74B5" w:themeColor="accent1" w:themeShade="BF"/>
              </w:rPr>
              <w:t xml:space="preserve"> limits </w:t>
            </w:r>
            <w:r w:rsidR="00895218" w:rsidRPr="00E8796F">
              <w:rPr>
                <w:color w:val="2E74B5" w:themeColor="accent1" w:themeShade="BF"/>
              </w:rPr>
              <w:t>concerning sums</w:t>
            </w:r>
          </w:p>
          <w:p w14:paraId="5C56E603" w14:textId="77777777" w:rsidR="00FA4979" w:rsidRDefault="00FA4979" w:rsidP="00895218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</w:p>
          <w:p w14:paraId="010091C7" w14:textId="2B5A659B" w:rsidR="00FA4979" w:rsidRDefault="00FA4979" w:rsidP="00895218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FA4979">
              <w:rPr>
                <w:color w:val="2E74B5" w:themeColor="accent1" w:themeShade="BF"/>
                <w:highlight w:val="yellow"/>
              </w:rPr>
              <w:t>NOTE:</w:t>
            </w:r>
            <w:r>
              <w:rPr>
                <w:color w:val="2E74B5" w:themeColor="accent1" w:themeShade="BF"/>
              </w:rPr>
              <w:t xml:space="preserve"> the text content not all relevant, and incomplete; relevant is pp. 515-516, Ex 22.20, Ex 22.21 met</w:t>
            </w:r>
            <w:r w:rsidR="00BD7904">
              <w:rPr>
                <w:color w:val="2E74B5" w:themeColor="accent1" w:themeShade="BF"/>
              </w:rPr>
              <w:t>h</w:t>
            </w:r>
            <w:r>
              <w:rPr>
                <w:color w:val="2E74B5" w:themeColor="accent1" w:themeShade="BF"/>
              </w:rPr>
              <w:t>odology yes, conclusion no (illogical), and summary points p. 522 “if the integral area…” are mixing comparison test and integral test</w:t>
            </w:r>
          </w:p>
          <w:p w14:paraId="45F8B304" w14:textId="77777777" w:rsidR="00DA4FA8" w:rsidRDefault="00DA4FA8" w:rsidP="00895218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DA4FA8">
              <w:rPr>
                <w:color w:val="2E74B5" w:themeColor="accent1" w:themeShade="BF"/>
                <w:highlight w:val="yellow"/>
              </w:rPr>
              <w:t>Create problems with rectangles (unit and Riemann)</w:t>
            </w:r>
          </w:p>
          <w:p w14:paraId="70F873C5" w14:textId="77777777" w:rsidR="00BD7904" w:rsidRDefault="00BD7904" w:rsidP="00895218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</w:p>
          <w:p w14:paraId="067E4C2C" w14:textId="7E05607B" w:rsidR="00BD7904" w:rsidRPr="00BD7904" w:rsidRDefault="00BD7904" w:rsidP="00895218">
            <w:pPr>
              <w:autoSpaceDE w:val="0"/>
              <w:autoSpaceDN w:val="0"/>
              <w:adjustRightInd w:val="0"/>
              <w:rPr>
                <w:color w:val="2E74B5" w:themeColor="accent1" w:themeShade="BF"/>
                <w:highlight w:val="yellow"/>
              </w:rPr>
            </w:pPr>
            <w:r w:rsidRPr="00BD7904">
              <w:rPr>
                <w:color w:val="2E74B5" w:themeColor="accent1" w:themeShade="BF"/>
                <w:highlight w:val="yellow"/>
              </w:rPr>
              <w:t xml:space="preserve">Riemann for syllabus comment “rectangles whose width can tend to zero” </w:t>
            </w:r>
            <w:r w:rsidRPr="00BD7904">
              <w:rPr>
                <w:color w:val="2E74B5" w:themeColor="accent1" w:themeShade="BF"/>
                <w:highlight w:val="yellow"/>
              </w:rPr>
              <w:br/>
            </w:r>
            <w:r w:rsidRPr="00BD7904">
              <w:rPr>
                <w:noProof/>
                <w:color w:val="2E74B5" w:themeColor="accent1" w:themeShade="BF"/>
                <w:highlight w:val="yellow"/>
              </w:rPr>
              <w:drawing>
                <wp:inline distT="0" distB="0" distL="0" distR="0" wp14:anchorId="54D6BBC4" wp14:editId="6A028717">
                  <wp:extent cx="1695450" cy="304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76D54B" w14:textId="77777777" w:rsidR="00BD7904" w:rsidRDefault="00BD7904" w:rsidP="00895218">
            <w:pPr>
              <w:autoSpaceDE w:val="0"/>
              <w:autoSpaceDN w:val="0"/>
              <w:adjustRightInd w:val="0"/>
              <w:rPr>
                <w:color w:val="2E74B5" w:themeColor="accent1" w:themeShade="BF"/>
                <w:highlight w:val="yellow"/>
              </w:rPr>
            </w:pPr>
          </w:p>
          <w:p w14:paraId="1082A71B" w14:textId="5EE4F15E" w:rsidR="005138B3" w:rsidRDefault="005138B3" w:rsidP="00895218">
            <w:pPr>
              <w:autoSpaceDE w:val="0"/>
              <w:autoSpaceDN w:val="0"/>
              <w:adjustRightInd w:val="0"/>
              <w:rPr>
                <w:color w:val="2E74B5" w:themeColor="accent1" w:themeShade="BF"/>
                <w:highlight w:val="yellow"/>
              </w:rPr>
            </w:pPr>
            <w:r>
              <w:rPr>
                <w:color w:val="2E74B5" w:themeColor="accent1" w:themeShade="BF"/>
                <w:highlight w:val="yellow"/>
              </w:rPr>
              <w:t>J22 21 q3 is “width to zero” example</w:t>
            </w:r>
          </w:p>
          <w:p w14:paraId="7F5179B8" w14:textId="77777777" w:rsidR="005138B3" w:rsidRPr="00BD7904" w:rsidRDefault="005138B3" w:rsidP="00895218">
            <w:pPr>
              <w:autoSpaceDE w:val="0"/>
              <w:autoSpaceDN w:val="0"/>
              <w:adjustRightInd w:val="0"/>
              <w:rPr>
                <w:color w:val="2E74B5" w:themeColor="accent1" w:themeShade="BF"/>
                <w:highlight w:val="yellow"/>
              </w:rPr>
            </w:pPr>
          </w:p>
          <w:p w14:paraId="3D24A7DC" w14:textId="7FB9D3C7" w:rsidR="00BD7904" w:rsidRPr="00CF4F4D" w:rsidRDefault="00BD7904" w:rsidP="00895218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BD7904">
              <w:rPr>
                <w:color w:val="2E74B5" w:themeColor="accent1" w:themeShade="BF"/>
                <w:highlight w:val="yellow"/>
              </w:rPr>
              <w:t>The definition of the definite integral is the infinite limit of a Riemann sum</w:t>
            </w:r>
          </w:p>
        </w:tc>
        <w:tc>
          <w:tcPr>
            <w:tcW w:w="3780" w:type="dxa"/>
            <w:gridSpan w:val="2"/>
          </w:tcPr>
          <w:p w14:paraId="42F87ED3" w14:textId="7B83766C" w:rsidR="00664C9F" w:rsidRDefault="000C2523" w:rsidP="00664C9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lastRenderedPageBreak/>
              <w:t>Lower bound: curve &lt; rectangles</w:t>
            </w:r>
          </w:p>
          <w:p w14:paraId="7D6318F9" w14:textId="7131DB8B" w:rsidR="000C2523" w:rsidRDefault="000C2523" w:rsidP="00664C9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Upper bound: curve &gt; rectangles</w:t>
            </w:r>
          </w:p>
          <w:p w14:paraId="20C0675F" w14:textId="4F4FF539" w:rsidR="000C2523" w:rsidRPr="000C2523" w:rsidRDefault="000C2523" w:rsidP="00D36911">
            <w:pPr>
              <w:rPr>
                <w:color w:val="2E74B5" w:themeColor="accent1" w:themeShade="BF"/>
                <w:sz w:val="21"/>
              </w:rPr>
            </w:pPr>
            <w:r w:rsidRPr="000C2523">
              <w:rPr>
                <w:color w:val="2E74B5" w:themeColor="accent1" w:themeShade="BF"/>
                <w:sz w:val="21"/>
              </w:rPr>
              <w:t xml:space="preserve">Lower: </w:t>
            </w:r>
            <w:r w:rsidR="00D36911" w:rsidRPr="000C2523">
              <w:rPr>
                <w:color w:val="2E74B5" w:themeColor="accent1" w:themeShade="BF"/>
                <w:sz w:val="21"/>
              </w:rPr>
              <w:t xml:space="preserve">top </w:t>
            </w:r>
            <w:r w:rsidRPr="000C2523">
              <w:rPr>
                <w:color w:val="2E74B5" w:themeColor="accent1" w:themeShade="BF"/>
                <w:sz w:val="21"/>
              </w:rPr>
              <w:t>left on curve</w:t>
            </w:r>
          </w:p>
          <w:p w14:paraId="0AEC8423" w14:textId="00631577" w:rsidR="000C2523" w:rsidRDefault="000C2523" w:rsidP="00D36911">
            <w:pPr>
              <w:rPr>
                <w:color w:val="2E74B5" w:themeColor="accent1" w:themeShade="BF"/>
                <w:sz w:val="21"/>
              </w:rPr>
            </w:pPr>
            <w:r w:rsidRPr="000C2523">
              <w:rPr>
                <w:color w:val="2E74B5" w:themeColor="accent1" w:themeShade="BF"/>
                <w:sz w:val="21"/>
              </w:rPr>
              <w:t>Upper</w:t>
            </w:r>
            <w:r>
              <w:rPr>
                <w:color w:val="2E74B5" w:themeColor="accent1" w:themeShade="BF"/>
                <w:sz w:val="21"/>
              </w:rPr>
              <w:t xml:space="preserve">: </w:t>
            </w:r>
            <w:r w:rsidR="00D36911">
              <w:rPr>
                <w:color w:val="2E74B5" w:themeColor="accent1" w:themeShade="BF"/>
                <w:sz w:val="21"/>
              </w:rPr>
              <w:t xml:space="preserve">top </w:t>
            </w:r>
            <w:r>
              <w:rPr>
                <w:color w:val="2E74B5" w:themeColor="accent1" w:themeShade="BF"/>
                <w:sz w:val="21"/>
              </w:rPr>
              <w:t>right on curve</w:t>
            </w:r>
          </w:p>
          <w:p w14:paraId="166CEEA5" w14:textId="5CA99ACE" w:rsidR="000C2523" w:rsidRDefault="000C2523" w:rsidP="000C2523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All unit width (other contexts, different)</w:t>
            </w:r>
          </w:p>
          <w:p w14:paraId="71A4A79A" w14:textId="7A497827" w:rsidR="000C2523" w:rsidRDefault="000C2523" w:rsidP="001166CA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Lower bound: </w:t>
            </w:r>
            <w:r w:rsidR="001166CA">
              <w:rPr>
                <w:color w:val="2E74B5" w:themeColor="accent1" w:themeShade="BF"/>
                <w:sz w:val="21"/>
              </w:rPr>
              <w:t xml:space="preserve">series </w:t>
            </w:r>
            <w:r w:rsidR="001166CA" w:rsidRPr="00D36911">
              <w:rPr>
                <w:color w:val="2E74B5" w:themeColor="accent1" w:themeShade="BF"/>
                <w:sz w:val="16"/>
                <w:szCs w:val="16"/>
              </w:rPr>
              <w:t xml:space="preserve">1 </w:t>
            </w:r>
            <w:proofErr w:type="spellStart"/>
            <w:r w:rsidR="001166CA" w:rsidRPr="00D36911">
              <w:rPr>
                <w:color w:val="2E74B5" w:themeColor="accent1" w:themeShade="BF"/>
                <w:sz w:val="16"/>
                <w:szCs w:val="16"/>
              </w:rPr>
              <w:t>to n</w:t>
            </w:r>
            <w:proofErr w:type="spellEnd"/>
            <w:r w:rsidR="00D36911">
              <w:rPr>
                <w:color w:val="2E74B5" w:themeColor="accent1" w:themeShade="BF"/>
                <w:sz w:val="21"/>
              </w:rPr>
              <w:t xml:space="preserve"> &gt; </w:t>
            </w:r>
            <w:r w:rsidR="00D36911" w:rsidRPr="00D36911">
              <w:rPr>
                <w:b/>
                <w:bCs/>
                <w:color w:val="2E74B5" w:themeColor="accent1" w:themeShade="BF"/>
                <w:sz w:val="21"/>
              </w:rPr>
              <w:t>S</w:t>
            </w:r>
            <w:r w:rsidR="00D36911">
              <w:rPr>
                <w:color w:val="2E74B5" w:themeColor="accent1" w:themeShade="BF"/>
                <w:sz w:val="21"/>
              </w:rPr>
              <w:t xml:space="preserve"> </w:t>
            </w:r>
            <w:r w:rsidR="00D36911" w:rsidRPr="00D36911">
              <w:rPr>
                <w:color w:val="2E74B5" w:themeColor="accent1" w:themeShade="BF"/>
                <w:sz w:val="16"/>
                <w:szCs w:val="16"/>
              </w:rPr>
              <w:t>1 to n</w:t>
            </w:r>
            <w:r w:rsidR="00D36911" w:rsidRPr="001166CA">
              <w:rPr>
                <w:color w:val="2E74B5" w:themeColor="accent1" w:themeShade="BF"/>
                <w:sz w:val="16"/>
                <w:szCs w:val="16"/>
                <w:highlight w:val="yellow"/>
              </w:rPr>
              <w:t>+1</w:t>
            </w:r>
            <w:r w:rsidR="00D36911">
              <w:rPr>
                <w:color w:val="2E74B5" w:themeColor="accent1" w:themeShade="BF"/>
                <w:sz w:val="21"/>
              </w:rPr>
              <w:t xml:space="preserve"> f dx</w:t>
            </w:r>
          </w:p>
          <w:p w14:paraId="36749018" w14:textId="48C1314A" w:rsidR="00706519" w:rsidRDefault="00706519" w:rsidP="00D36911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lastRenderedPageBreak/>
              <w:t xml:space="preserve">n+1: </w:t>
            </w:r>
            <w:proofErr w:type="spellStart"/>
            <w:r>
              <w:rPr>
                <w:color w:val="2E74B5" w:themeColor="accent1" w:themeShade="BF"/>
                <w:sz w:val="21"/>
              </w:rPr>
              <w:t>rects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 start (left) at 1 and end at 1+1, so the last </w:t>
            </w:r>
            <w:proofErr w:type="spellStart"/>
            <w:r>
              <w:rPr>
                <w:color w:val="2E74B5" w:themeColor="accent1" w:themeShade="BF"/>
                <w:sz w:val="21"/>
              </w:rPr>
              <w:t>rect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 starts at n and ends at n+1</w:t>
            </w:r>
          </w:p>
          <w:p w14:paraId="573D3018" w14:textId="347359F0" w:rsidR="00D36911" w:rsidRPr="000C2523" w:rsidRDefault="00D36911" w:rsidP="00D36911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Upper bound: </w:t>
            </w:r>
            <w:r w:rsidR="001166CA">
              <w:rPr>
                <w:color w:val="2E74B5" w:themeColor="accent1" w:themeShade="BF"/>
                <w:sz w:val="21"/>
              </w:rPr>
              <w:t xml:space="preserve">series </w:t>
            </w:r>
            <w:r w:rsidR="001166CA" w:rsidRPr="00D36911">
              <w:rPr>
                <w:color w:val="2E74B5" w:themeColor="accent1" w:themeShade="BF"/>
                <w:sz w:val="16"/>
                <w:szCs w:val="16"/>
              </w:rPr>
              <w:t xml:space="preserve">1 </w:t>
            </w:r>
            <w:proofErr w:type="spellStart"/>
            <w:r w:rsidR="001166CA" w:rsidRPr="00D36911">
              <w:rPr>
                <w:color w:val="2E74B5" w:themeColor="accent1" w:themeShade="BF"/>
                <w:sz w:val="16"/>
                <w:szCs w:val="16"/>
              </w:rPr>
              <w:t>to n</w:t>
            </w:r>
            <w:proofErr w:type="spellEnd"/>
            <w:r w:rsidR="001166CA">
              <w:rPr>
                <w:color w:val="2E74B5" w:themeColor="accent1" w:themeShade="BF"/>
                <w:sz w:val="21"/>
              </w:rPr>
              <w:t xml:space="preserve"> </w:t>
            </w:r>
            <w:r>
              <w:rPr>
                <w:color w:val="2E74B5" w:themeColor="accent1" w:themeShade="BF"/>
                <w:sz w:val="21"/>
              </w:rPr>
              <w:t xml:space="preserve">&lt; </w:t>
            </w:r>
            <w:r w:rsidRPr="001166CA">
              <w:rPr>
                <w:color w:val="2E74B5" w:themeColor="accent1" w:themeShade="BF"/>
                <w:sz w:val="21"/>
                <w:highlight w:val="yellow"/>
              </w:rPr>
              <w:t>1 +</w:t>
            </w:r>
            <w:r>
              <w:rPr>
                <w:color w:val="2E74B5" w:themeColor="accent1" w:themeShade="BF"/>
                <w:sz w:val="21"/>
              </w:rPr>
              <w:t xml:space="preserve"> </w:t>
            </w:r>
            <w:r w:rsidRPr="00D36911">
              <w:rPr>
                <w:b/>
                <w:bCs/>
                <w:color w:val="2E74B5" w:themeColor="accent1" w:themeShade="BF"/>
                <w:sz w:val="21"/>
              </w:rPr>
              <w:t>S</w:t>
            </w:r>
            <w:r>
              <w:rPr>
                <w:color w:val="2E74B5" w:themeColor="accent1" w:themeShade="BF"/>
                <w:sz w:val="21"/>
              </w:rPr>
              <w:t xml:space="preserve"> </w:t>
            </w:r>
            <w:r w:rsidRPr="00D36911">
              <w:rPr>
                <w:color w:val="2E74B5" w:themeColor="accent1" w:themeShade="BF"/>
                <w:sz w:val="16"/>
                <w:szCs w:val="16"/>
              </w:rPr>
              <w:t>1 to n</w:t>
            </w:r>
            <w:r>
              <w:rPr>
                <w:color w:val="2E74B5" w:themeColor="accent1" w:themeShade="BF"/>
                <w:sz w:val="21"/>
              </w:rPr>
              <w:t xml:space="preserve"> f dx</w:t>
            </w:r>
          </w:p>
          <w:p w14:paraId="4AA6D600" w14:textId="5E3965A9" w:rsidR="00706519" w:rsidRDefault="00706519" w:rsidP="001166CA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+ 1:</w:t>
            </w:r>
            <w:r w:rsidR="001166CA">
              <w:rPr>
                <w:color w:val="2E74B5" w:themeColor="accent1" w:themeShade="BF"/>
                <w:sz w:val="21"/>
              </w:rPr>
              <w:t xml:space="preserve"> </w:t>
            </w:r>
            <w:proofErr w:type="spellStart"/>
            <w:r>
              <w:rPr>
                <w:color w:val="2E74B5" w:themeColor="accent1" w:themeShade="BF"/>
                <w:sz w:val="21"/>
              </w:rPr>
              <w:t>rects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 start at the </w:t>
            </w:r>
            <w:r w:rsidR="001166CA">
              <w:rPr>
                <w:color w:val="2E74B5" w:themeColor="accent1" w:themeShade="BF"/>
                <w:sz w:val="21"/>
              </w:rPr>
              <w:t>height for f(start + 1</w:t>
            </w:r>
            <w:r>
              <w:rPr>
                <w:color w:val="2E74B5" w:themeColor="accent1" w:themeShade="BF"/>
                <w:sz w:val="21"/>
              </w:rPr>
              <w:t xml:space="preserve">) (see graph), like the sum starting from r=2, so to start from r=1, we need the area of the f(1) </w:t>
            </w:r>
            <w:proofErr w:type="spellStart"/>
            <w:r>
              <w:rPr>
                <w:color w:val="2E74B5" w:themeColor="accent1" w:themeShade="BF"/>
                <w:sz w:val="21"/>
              </w:rPr>
              <w:t>rect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, which is </w:t>
            </w:r>
            <w:r w:rsidR="001166CA">
              <w:rPr>
                <w:color w:val="2E74B5" w:themeColor="accent1" w:themeShade="BF"/>
                <w:sz w:val="21"/>
              </w:rPr>
              <w:t>1</w:t>
            </w:r>
            <w:r>
              <w:rPr>
                <w:color w:val="2E74B5" w:themeColor="accent1" w:themeShade="BF"/>
                <w:sz w:val="21"/>
              </w:rPr>
              <w:t xml:space="preserve"> (</w:t>
            </w:r>
            <w:r w:rsidR="001166CA">
              <w:rPr>
                <w:color w:val="2E74B5" w:themeColor="accent1" w:themeShade="BF"/>
                <w:sz w:val="21"/>
              </w:rPr>
              <w:t>not always 1, see 22.21</w:t>
            </w:r>
            <w:r>
              <w:rPr>
                <w:color w:val="2E74B5" w:themeColor="accent1" w:themeShade="BF"/>
                <w:sz w:val="21"/>
              </w:rPr>
              <w:t>)</w:t>
            </w:r>
          </w:p>
          <w:p w14:paraId="2F4D6C26" w14:textId="53C96853" w:rsidR="001166CA" w:rsidRDefault="001166CA" w:rsidP="001166CA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Integral test: if integral c/d, series c/d</w:t>
            </w:r>
          </w:p>
          <w:p w14:paraId="26501735" w14:textId="77777777" w:rsidR="001166CA" w:rsidRPr="00D36911" w:rsidRDefault="001166CA" w:rsidP="001166CA">
            <w:pPr>
              <w:rPr>
                <w:color w:val="2E74B5" w:themeColor="accent1" w:themeShade="BF"/>
                <w:sz w:val="21"/>
              </w:rPr>
            </w:pPr>
            <w:r w:rsidRPr="00D36911">
              <w:rPr>
                <w:color w:val="2E74B5" w:themeColor="accent1" w:themeShade="BF"/>
                <w:sz w:val="21"/>
              </w:rPr>
              <w:t>Ex 22.20</w:t>
            </w:r>
          </w:p>
          <w:p w14:paraId="09F11357" w14:textId="1D3EF074" w:rsidR="001166CA" w:rsidRDefault="001166CA" w:rsidP="001166CA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p. 518 – comparison test described</w:t>
            </w:r>
          </w:p>
          <w:p w14:paraId="3E351929" w14:textId="391D26E3" w:rsidR="001A47E3" w:rsidRDefault="001A47E3" w:rsidP="001166CA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note that comparison series might change inequality after 1, 2, 3 terms; these terms “drop off”, no effect</w:t>
            </w:r>
          </w:p>
          <w:p w14:paraId="44EE65E6" w14:textId="630545E2" w:rsidR="000C2523" w:rsidRPr="001166CA" w:rsidRDefault="000C2523" w:rsidP="001166CA">
            <w:pPr>
              <w:rPr>
                <w:color w:val="2E74B5" w:themeColor="accent1" w:themeShade="BF"/>
                <w:sz w:val="21"/>
              </w:rPr>
            </w:pPr>
            <w:r w:rsidRPr="001166CA">
              <w:rPr>
                <w:color w:val="2E74B5" w:themeColor="accent1" w:themeShade="BF"/>
                <w:sz w:val="21"/>
              </w:rPr>
              <w:t>Ex 22.21</w:t>
            </w:r>
            <w:r w:rsidR="001166CA">
              <w:rPr>
                <w:color w:val="2E74B5" w:themeColor="accent1" w:themeShade="BF"/>
                <w:sz w:val="21"/>
              </w:rPr>
              <w:t xml:space="preserve">: upper, </w:t>
            </w:r>
            <w:proofErr w:type="spellStart"/>
            <w:r w:rsidR="001166CA">
              <w:rPr>
                <w:color w:val="2E74B5" w:themeColor="accent1" w:themeShade="BF"/>
                <w:sz w:val="21"/>
              </w:rPr>
              <w:t>rects</w:t>
            </w:r>
            <w:proofErr w:type="spellEnd"/>
            <w:r w:rsidR="001166CA">
              <w:rPr>
                <w:color w:val="2E74B5" w:themeColor="accent1" w:themeShade="BF"/>
                <w:sz w:val="21"/>
              </w:rPr>
              <w:t xml:space="preserve"> start at </w:t>
            </w:r>
            <w:proofErr w:type="gramStart"/>
            <w:r w:rsidR="001166CA">
              <w:rPr>
                <w:color w:val="2E74B5" w:themeColor="accent1" w:themeShade="BF"/>
                <w:sz w:val="21"/>
              </w:rPr>
              <w:t>f(</w:t>
            </w:r>
            <w:proofErr w:type="gramEnd"/>
            <w:r w:rsidR="001166CA">
              <w:rPr>
                <w:color w:val="2E74B5" w:themeColor="accent1" w:themeShade="BF"/>
                <w:sz w:val="21"/>
              </w:rPr>
              <w:t xml:space="preserve">start + 1), so + f(start) = f(2) </w:t>
            </w:r>
            <w:r w:rsidR="001B211A">
              <w:rPr>
                <w:color w:val="2E74B5" w:themeColor="accent1" w:themeShade="BF"/>
                <w:sz w:val="21"/>
              </w:rPr>
              <w:t>= 1/2ln2 (error in text)</w:t>
            </w:r>
            <w:r w:rsidR="00E56E81">
              <w:rPr>
                <w:color w:val="2E74B5" w:themeColor="accent1" w:themeShade="BF"/>
                <w:sz w:val="21"/>
              </w:rPr>
              <w:t>; diverges by integral test, to say (summarizing) “sum less than integral to infinity thus series (which is less than the inte</w:t>
            </w:r>
            <w:r w:rsidR="00FA4979">
              <w:rPr>
                <w:color w:val="2E74B5" w:themeColor="accent1" w:themeShade="BF"/>
                <w:sz w:val="21"/>
              </w:rPr>
              <w:t xml:space="preserve">gral) diverges” </w:t>
            </w:r>
            <w:r w:rsidR="00FA4979" w:rsidRPr="00FA4979">
              <w:rPr>
                <w:color w:val="2E74B5" w:themeColor="accent1" w:themeShade="BF"/>
                <w:sz w:val="21"/>
                <w:highlight w:val="yellow"/>
              </w:rPr>
              <w:t>is not logical…</w:t>
            </w:r>
          </w:p>
          <w:p w14:paraId="33C76C53" w14:textId="398C595D" w:rsidR="000C2523" w:rsidRPr="00E56E81" w:rsidRDefault="000C2523" w:rsidP="00664C9F">
            <w:pPr>
              <w:rPr>
                <w:color w:val="2E74B5" w:themeColor="accent1" w:themeShade="BF"/>
                <w:sz w:val="21"/>
              </w:rPr>
            </w:pPr>
            <w:r w:rsidRPr="00E56E81">
              <w:rPr>
                <w:color w:val="2E74B5" w:themeColor="accent1" w:themeShade="BF"/>
                <w:sz w:val="21"/>
              </w:rPr>
              <w:t>Ex 22.22</w:t>
            </w:r>
            <w:r w:rsidR="00E56E81" w:rsidRPr="00E56E81">
              <w:rPr>
                <w:color w:val="2E74B5" w:themeColor="accent1" w:themeShade="BF"/>
                <w:sz w:val="21"/>
              </w:rPr>
              <w:t xml:space="preserve">: comparison test, pick an </w:t>
            </w:r>
            <w:proofErr w:type="spellStart"/>
            <w:r w:rsidR="00E56E81" w:rsidRPr="00E56E81">
              <w:rPr>
                <w:color w:val="2E74B5" w:themeColor="accent1" w:themeShade="BF"/>
                <w:sz w:val="21"/>
              </w:rPr>
              <w:t>integrable</w:t>
            </w:r>
            <w:proofErr w:type="spellEnd"/>
            <w:r w:rsidR="00E56E81" w:rsidRPr="00E56E81">
              <w:rPr>
                <w:color w:val="2E74B5" w:themeColor="accent1" w:themeShade="BF"/>
                <w:sz w:val="21"/>
              </w:rPr>
              <w:t xml:space="preserve"> function</w:t>
            </w:r>
            <w:r w:rsidR="00E56E81">
              <w:rPr>
                <w:color w:val="2E74B5" w:themeColor="accent1" w:themeShade="BF"/>
                <w:sz w:val="21"/>
              </w:rPr>
              <w:t xml:space="preserve"> which is &lt; to prove divergence</w:t>
            </w:r>
          </w:p>
          <w:p w14:paraId="0F33311C" w14:textId="584D2332" w:rsidR="000C2523" w:rsidRPr="001A47E3" w:rsidRDefault="000C2523" w:rsidP="00664C9F">
            <w:pPr>
              <w:rPr>
                <w:color w:val="2E74B5" w:themeColor="accent1" w:themeShade="BF"/>
                <w:sz w:val="21"/>
              </w:rPr>
            </w:pPr>
            <w:r w:rsidRPr="001A47E3">
              <w:rPr>
                <w:color w:val="2E74B5" w:themeColor="accent1" w:themeShade="BF"/>
                <w:sz w:val="21"/>
              </w:rPr>
              <w:t>Ex 22.23</w:t>
            </w:r>
            <w:r w:rsidR="00E56E81" w:rsidRPr="001A47E3">
              <w:rPr>
                <w:color w:val="2E74B5" w:themeColor="accent1" w:themeShade="BF"/>
                <w:sz w:val="21"/>
              </w:rPr>
              <w:t>: same</w:t>
            </w:r>
          </w:p>
          <w:p w14:paraId="15EB48BB" w14:textId="6751DD36" w:rsidR="000C2523" w:rsidRPr="001A47E3" w:rsidRDefault="001166CA" w:rsidP="001A47E3">
            <w:pPr>
              <w:rPr>
                <w:color w:val="2E74B5" w:themeColor="accent1" w:themeShade="BF"/>
                <w:sz w:val="21"/>
              </w:rPr>
            </w:pPr>
            <w:r w:rsidRPr="001A47E3">
              <w:rPr>
                <w:color w:val="2E74B5" w:themeColor="accent1" w:themeShade="BF"/>
                <w:sz w:val="21"/>
              </w:rPr>
              <w:t xml:space="preserve">22D </w:t>
            </w:r>
            <w:r w:rsidR="001A47E3">
              <w:rPr>
                <w:color w:val="2E74B5" w:themeColor="accent1" w:themeShade="BF"/>
                <w:sz w:val="21"/>
              </w:rPr>
              <w:t>1, 2</w:t>
            </w:r>
            <w:r w:rsidR="002E4209">
              <w:rPr>
                <w:color w:val="2E74B5" w:themeColor="accent1" w:themeShade="BF"/>
                <w:sz w:val="21"/>
              </w:rPr>
              <w:t xml:space="preserve"> </w:t>
            </w:r>
            <w:r w:rsidR="001A47E3">
              <w:rPr>
                <w:color w:val="2E74B5" w:themeColor="accent1" w:themeShade="BF"/>
                <w:sz w:val="21"/>
              </w:rPr>
              <w:t xml:space="preserve">(if use 1/(n+4) &lt;, n = 1, 2 it’s &gt;, but n=3 on, &lt; and 1, 2 no effect), </w:t>
            </w:r>
            <w:r w:rsidR="002E4209">
              <w:rPr>
                <w:color w:val="2E74B5" w:themeColor="accent1" w:themeShade="BF"/>
                <w:sz w:val="21"/>
              </w:rPr>
              <w:t xml:space="preserve">3, 4, 5 (I don’t agree with Elevate working), </w:t>
            </w:r>
            <w:r w:rsidR="00510FEE">
              <w:rPr>
                <w:color w:val="2E74B5" w:themeColor="accent1" w:themeShade="BF"/>
                <w:sz w:val="21"/>
              </w:rPr>
              <w:t>6 (not sure I agree w/Elevate, use 1/</w:t>
            </w:r>
            <w:proofErr w:type="spellStart"/>
            <w:r w:rsidR="00510FEE">
              <w:rPr>
                <w:color w:val="2E74B5" w:themeColor="accent1" w:themeShade="BF"/>
                <w:sz w:val="21"/>
              </w:rPr>
              <w:t>rt</w:t>
            </w:r>
            <w:proofErr w:type="spellEnd"/>
            <w:r w:rsidR="00510FEE">
              <w:rPr>
                <w:color w:val="2E74B5" w:themeColor="accent1" w:themeShade="BF"/>
                <w:sz w:val="21"/>
              </w:rPr>
              <w:t xml:space="preserve"> n as +3 in (n+3) doesn’t matter approaching infinity… BUT they’re using a larger series as a result, a smaller series is needed for comparison test), 7, 8 (</w:t>
            </w:r>
            <w:r w:rsidR="00510FEE" w:rsidRPr="00510FEE">
              <w:rPr>
                <w:color w:val="2E74B5" w:themeColor="accent1" w:themeShade="BF"/>
                <w:sz w:val="21"/>
                <w:highlight w:val="yellow"/>
              </w:rPr>
              <w:t>nth term test</w:t>
            </w:r>
            <w:r w:rsidR="00510FEE">
              <w:rPr>
                <w:color w:val="2E74B5" w:themeColor="accent1" w:themeShade="BF"/>
                <w:sz w:val="21"/>
              </w:rPr>
              <w:t>), 9</w:t>
            </w:r>
          </w:p>
          <w:p w14:paraId="4248800F" w14:textId="4C499D1B" w:rsidR="001C7865" w:rsidRPr="001C7865" w:rsidRDefault="001C7865" w:rsidP="001C7865">
            <w:pPr>
              <w:rPr>
                <w:color w:val="2E74B5" w:themeColor="accent1" w:themeShade="BF"/>
                <w:sz w:val="21"/>
              </w:rPr>
            </w:pPr>
            <w:r w:rsidRPr="00AA76EF">
              <w:rPr>
                <w:color w:val="2E74B5" w:themeColor="accent1" w:themeShade="BF"/>
                <w:sz w:val="21"/>
                <w:highlight w:val="yellow"/>
              </w:rPr>
              <w:t>Note the book might? Be mixing integral test and comparison test?  Integral test; the comparison comments on p. 518 are talking about “rectangles under a curve”, but that’s now how the analysis works for integral test, and for comparison test</w:t>
            </w:r>
            <w:r w:rsidR="00E56E81" w:rsidRPr="00AA76EF">
              <w:rPr>
                <w:color w:val="2E74B5" w:themeColor="accent1" w:themeShade="BF"/>
                <w:sz w:val="21"/>
                <w:highlight w:val="yellow"/>
              </w:rPr>
              <w:t xml:space="preserve">; the upper/lower and &lt;/&gt; w/the integral seem to be mixing comp and </w:t>
            </w:r>
            <w:proofErr w:type="spellStart"/>
            <w:r w:rsidR="00E56E81" w:rsidRPr="00AA76EF">
              <w:rPr>
                <w:color w:val="2E74B5" w:themeColor="accent1" w:themeShade="BF"/>
                <w:sz w:val="21"/>
                <w:highlight w:val="yellow"/>
              </w:rPr>
              <w:t>int</w:t>
            </w:r>
            <w:proofErr w:type="spellEnd"/>
            <w:r w:rsidR="00E56E81" w:rsidRPr="00AA76EF">
              <w:rPr>
                <w:color w:val="2E74B5" w:themeColor="accent1" w:themeShade="BF"/>
                <w:sz w:val="21"/>
                <w:highlight w:val="yellow"/>
              </w:rPr>
              <w:t xml:space="preserve"> tests…</w:t>
            </w:r>
            <w:r>
              <w:rPr>
                <w:color w:val="2E74B5" w:themeColor="accent1" w:themeShade="BF"/>
                <w:sz w:val="21"/>
              </w:rPr>
              <w:t xml:space="preserve"> </w:t>
            </w:r>
          </w:p>
        </w:tc>
        <w:tc>
          <w:tcPr>
            <w:tcW w:w="3240" w:type="dxa"/>
            <w:gridSpan w:val="2"/>
          </w:tcPr>
          <w:p w14:paraId="726590D2" w14:textId="7FCBAD73" w:rsidR="00664C9F" w:rsidRPr="001C7865" w:rsidRDefault="00664C9F" w:rsidP="00664C9F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3D71AC2B" w14:textId="15F4FC68" w:rsidR="00664C9F" w:rsidRPr="00671081" w:rsidRDefault="00664C9F" w:rsidP="00664C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:rsidRPr="00492C23" w14:paraId="6D73044A" w14:textId="77777777" w:rsidTr="002421DB">
        <w:tc>
          <w:tcPr>
            <w:tcW w:w="805" w:type="dxa"/>
          </w:tcPr>
          <w:p w14:paraId="257A934F" w14:textId="363CF459" w:rsidR="00664C9F" w:rsidRPr="00671081" w:rsidRDefault="00664C9F" w:rsidP="00664C9F">
            <w:pPr>
              <w:rPr>
                <w:color w:val="2E74B5" w:themeColor="accent1" w:themeShade="BF"/>
              </w:rPr>
            </w:pPr>
          </w:p>
        </w:tc>
        <w:tc>
          <w:tcPr>
            <w:tcW w:w="1890" w:type="dxa"/>
          </w:tcPr>
          <w:p w14:paraId="6A71FE49" w14:textId="6B2FB11D" w:rsidR="00664C9F" w:rsidRPr="007A2EE3" w:rsidRDefault="00664C9F" w:rsidP="00664C9F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32352663" w14:textId="775DF93E" w:rsidR="00664C9F" w:rsidRPr="00912C9A" w:rsidRDefault="00664C9F" w:rsidP="00664C9F">
            <w:pPr>
              <w:rPr>
                <w:rFonts w:ascii="BlissPro-Light" w:hAnsi="BlissPro-Light" w:cs="BlissPro-Light"/>
                <w:sz w:val="21"/>
                <w:szCs w:val="21"/>
              </w:rPr>
            </w:pPr>
          </w:p>
        </w:tc>
        <w:tc>
          <w:tcPr>
            <w:tcW w:w="3780" w:type="dxa"/>
            <w:gridSpan w:val="2"/>
          </w:tcPr>
          <w:p w14:paraId="3C0E8513" w14:textId="19FA167C" w:rsidR="00664C9F" w:rsidRPr="00213BC9" w:rsidRDefault="00484E28" w:rsidP="00484E28">
            <w:pPr>
              <w:rPr>
                <w:color w:val="2E74B5" w:themeColor="accent1" w:themeShade="BF"/>
                <w:sz w:val="21"/>
              </w:rPr>
            </w:pPr>
            <w:r w:rsidRPr="00484E28">
              <w:rPr>
                <w:color w:val="2E74B5" w:themeColor="accent1" w:themeShade="BF"/>
                <w:sz w:val="21"/>
                <w:highlight w:val="green"/>
              </w:rPr>
              <w:t xml:space="preserve">J20 22 q4 is ex of </w:t>
            </w:r>
            <w:proofErr w:type="spellStart"/>
            <w:r w:rsidRPr="00484E28">
              <w:rPr>
                <w:color w:val="2E74B5" w:themeColor="accent1" w:themeShade="BF"/>
                <w:sz w:val="21"/>
                <w:highlight w:val="green"/>
              </w:rPr>
              <w:t>rect</w:t>
            </w:r>
            <w:proofErr w:type="spellEnd"/>
            <w:r w:rsidRPr="00484E28">
              <w:rPr>
                <w:color w:val="2E74B5" w:themeColor="accent1" w:themeShade="BF"/>
                <w:sz w:val="21"/>
                <w:highlight w:val="green"/>
              </w:rPr>
              <w:t xml:space="preserve"> with width to 0</w:t>
            </w:r>
          </w:p>
        </w:tc>
        <w:tc>
          <w:tcPr>
            <w:tcW w:w="3240" w:type="dxa"/>
            <w:gridSpan w:val="2"/>
          </w:tcPr>
          <w:p w14:paraId="1413ECF7" w14:textId="1938F16A" w:rsidR="00664C9F" w:rsidRPr="00213BC9" w:rsidRDefault="00664C9F" w:rsidP="00664C9F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B768902" w14:textId="4A70A751" w:rsidR="00664C9F" w:rsidRPr="00E4361B" w:rsidRDefault="00664C9F" w:rsidP="00664C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14:paraId="71816EC0" w14:textId="77777777" w:rsidTr="00D514A9">
        <w:tc>
          <w:tcPr>
            <w:tcW w:w="14390" w:type="dxa"/>
            <w:gridSpan w:val="10"/>
          </w:tcPr>
          <w:p w14:paraId="31C07641" w14:textId="2D85F299" w:rsidR="00664C9F" w:rsidRPr="007A2EE3" w:rsidRDefault="00664C9F" w:rsidP="00664C9F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664C9F" w:rsidRPr="007A2EE3" w:rsidRDefault="00664C9F" w:rsidP="00664C9F">
            <w:pPr>
              <w:rPr>
                <w:sz w:val="20"/>
              </w:rPr>
            </w:pPr>
          </w:p>
          <w:p w14:paraId="7ECF4B1C" w14:textId="77777777" w:rsidR="00664C9F" w:rsidRPr="007A2EE3" w:rsidRDefault="00664C9F" w:rsidP="00664C9F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2155"/>
    <w:multiLevelType w:val="hybridMultilevel"/>
    <w:tmpl w:val="2C983C3A"/>
    <w:lvl w:ilvl="0" w:tplc="0ABC30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43ED7"/>
    <w:rsid w:val="0005031C"/>
    <w:rsid w:val="00050743"/>
    <w:rsid w:val="0005647C"/>
    <w:rsid w:val="000841FA"/>
    <w:rsid w:val="000A3929"/>
    <w:rsid w:val="000B483D"/>
    <w:rsid w:val="000B7956"/>
    <w:rsid w:val="000C2523"/>
    <w:rsid w:val="000C52E7"/>
    <w:rsid w:val="00103676"/>
    <w:rsid w:val="001063A5"/>
    <w:rsid w:val="001166CA"/>
    <w:rsid w:val="001505DF"/>
    <w:rsid w:val="0019589A"/>
    <w:rsid w:val="001A47E3"/>
    <w:rsid w:val="001B211A"/>
    <w:rsid w:val="001B7A3A"/>
    <w:rsid w:val="001C7865"/>
    <w:rsid w:val="001F1B37"/>
    <w:rsid w:val="001F2874"/>
    <w:rsid w:val="002066A2"/>
    <w:rsid w:val="00213BC9"/>
    <w:rsid w:val="00217CF3"/>
    <w:rsid w:val="00223D9C"/>
    <w:rsid w:val="00224D9B"/>
    <w:rsid w:val="002421DB"/>
    <w:rsid w:val="0025041E"/>
    <w:rsid w:val="00275D59"/>
    <w:rsid w:val="002905A8"/>
    <w:rsid w:val="00295F58"/>
    <w:rsid w:val="002A523E"/>
    <w:rsid w:val="002A73FF"/>
    <w:rsid w:val="002E4209"/>
    <w:rsid w:val="00301465"/>
    <w:rsid w:val="00314435"/>
    <w:rsid w:val="003232CB"/>
    <w:rsid w:val="00344254"/>
    <w:rsid w:val="0034644E"/>
    <w:rsid w:val="003608D7"/>
    <w:rsid w:val="00366F69"/>
    <w:rsid w:val="00367E83"/>
    <w:rsid w:val="00382BA9"/>
    <w:rsid w:val="003A037B"/>
    <w:rsid w:val="003B6AEB"/>
    <w:rsid w:val="003D3B24"/>
    <w:rsid w:val="003D5997"/>
    <w:rsid w:val="003E2814"/>
    <w:rsid w:val="003F30CC"/>
    <w:rsid w:val="00405986"/>
    <w:rsid w:val="00416EB8"/>
    <w:rsid w:val="00463A21"/>
    <w:rsid w:val="00471FC1"/>
    <w:rsid w:val="00473172"/>
    <w:rsid w:val="00477C6A"/>
    <w:rsid w:val="00480920"/>
    <w:rsid w:val="00484E28"/>
    <w:rsid w:val="00492C23"/>
    <w:rsid w:val="004A1D33"/>
    <w:rsid w:val="004A3458"/>
    <w:rsid w:val="004A740C"/>
    <w:rsid w:val="004E0681"/>
    <w:rsid w:val="004E27A0"/>
    <w:rsid w:val="004F08D5"/>
    <w:rsid w:val="004F1C6D"/>
    <w:rsid w:val="00510FEE"/>
    <w:rsid w:val="005138B3"/>
    <w:rsid w:val="00515F65"/>
    <w:rsid w:val="005172FD"/>
    <w:rsid w:val="00562F1C"/>
    <w:rsid w:val="00586F34"/>
    <w:rsid w:val="005973FB"/>
    <w:rsid w:val="005A6CE6"/>
    <w:rsid w:val="005B55E6"/>
    <w:rsid w:val="005B6E92"/>
    <w:rsid w:val="005D42DD"/>
    <w:rsid w:val="005F58E0"/>
    <w:rsid w:val="00634CE6"/>
    <w:rsid w:val="00643EB7"/>
    <w:rsid w:val="00664C9F"/>
    <w:rsid w:val="00671081"/>
    <w:rsid w:val="00685E44"/>
    <w:rsid w:val="006D5AFB"/>
    <w:rsid w:val="006F66F0"/>
    <w:rsid w:val="007060F4"/>
    <w:rsid w:val="00706519"/>
    <w:rsid w:val="00751A39"/>
    <w:rsid w:val="00766B9D"/>
    <w:rsid w:val="0078426F"/>
    <w:rsid w:val="0079473B"/>
    <w:rsid w:val="007A2EE3"/>
    <w:rsid w:val="007C086F"/>
    <w:rsid w:val="007D5F2E"/>
    <w:rsid w:val="00804EEA"/>
    <w:rsid w:val="00813624"/>
    <w:rsid w:val="0084468A"/>
    <w:rsid w:val="00851A4C"/>
    <w:rsid w:val="008801CD"/>
    <w:rsid w:val="008901C8"/>
    <w:rsid w:val="00895218"/>
    <w:rsid w:val="008F6398"/>
    <w:rsid w:val="00911DDA"/>
    <w:rsid w:val="00912C9A"/>
    <w:rsid w:val="00915C62"/>
    <w:rsid w:val="00933173"/>
    <w:rsid w:val="00963EF7"/>
    <w:rsid w:val="00964AE4"/>
    <w:rsid w:val="009669B6"/>
    <w:rsid w:val="00995FB4"/>
    <w:rsid w:val="009B34AF"/>
    <w:rsid w:val="009B5B70"/>
    <w:rsid w:val="009E1775"/>
    <w:rsid w:val="009F12F3"/>
    <w:rsid w:val="009F5FF2"/>
    <w:rsid w:val="009F6EE6"/>
    <w:rsid w:val="00A24836"/>
    <w:rsid w:val="00A52F1A"/>
    <w:rsid w:val="00A70013"/>
    <w:rsid w:val="00AA44DE"/>
    <w:rsid w:val="00AA76EF"/>
    <w:rsid w:val="00AE15FA"/>
    <w:rsid w:val="00B268B7"/>
    <w:rsid w:val="00B27E2D"/>
    <w:rsid w:val="00B54A1D"/>
    <w:rsid w:val="00B74186"/>
    <w:rsid w:val="00B85215"/>
    <w:rsid w:val="00B903F6"/>
    <w:rsid w:val="00B94087"/>
    <w:rsid w:val="00BA4594"/>
    <w:rsid w:val="00BB2153"/>
    <w:rsid w:val="00BC0B83"/>
    <w:rsid w:val="00BD7904"/>
    <w:rsid w:val="00BF137A"/>
    <w:rsid w:val="00BF54AD"/>
    <w:rsid w:val="00C17FC9"/>
    <w:rsid w:val="00C309C1"/>
    <w:rsid w:val="00C34AD5"/>
    <w:rsid w:val="00C373F8"/>
    <w:rsid w:val="00C806BB"/>
    <w:rsid w:val="00CA4D0C"/>
    <w:rsid w:val="00CB0199"/>
    <w:rsid w:val="00CB4B0A"/>
    <w:rsid w:val="00CF1F0B"/>
    <w:rsid w:val="00CF4F4D"/>
    <w:rsid w:val="00D02EFF"/>
    <w:rsid w:val="00D36911"/>
    <w:rsid w:val="00D514A9"/>
    <w:rsid w:val="00D6482C"/>
    <w:rsid w:val="00D67C16"/>
    <w:rsid w:val="00DA459B"/>
    <w:rsid w:val="00DA4FA8"/>
    <w:rsid w:val="00DC5F3E"/>
    <w:rsid w:val="00DD0901"/>
    <w:rsid w:val="00DD5FED"/>
    <w:rsid w:val="00DF0DFF"/>
    <w:rsid w:val="00E05D51"/>
    <w:rsid w:val="00E0677D"/>
    <w:rsid w:val="00E13357"/>
    <w:rsid w:val="00E25A87"/>
    <w:rsid w:val="00E40A47"/>
    <w:rsid w:val="00E4361B"/>
    <w:rsid w:val="00E540A3"/>
    <w:rsid w:val="00E56E81"/>
    <w:rsid w:val="00E831A6"/>
    <w:rsid w:val="00E9107E"/>
    <w:rsid w:val="00E91414"/>
    <w:rsid w:val="00E93597"/>
    <w:rsid w:val="00EA559C"/>
    <w:rsid w:val="00EB00BD"/>
    <w:rsid w:val="00EE1839"/>
    <w:rsid w:val="00EE572D"/>
    <w:rsid w:val="00EF2AC1"/>
    <w:rsid w:val="00F0424D"/>
    <w:rsid w:val="00F26BF2"/>
    <w:rsid w:val="00F27A46"/>
    <w:rsid w:val="00F31DC3"/>
    <w:rsid w:val="00F3424C"/>
    <w:rsid w:val="00F67BE4"/>
    <w:rsid w:val="00F872F4"/>
    <w:rsid w:val="00F9515C"/>
    <w:rsid w:val="00FA4979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18</cp:revision>
  <cp:lastPrinted>2019-07-05T07:41:00Z</cp:lastPrinted>
  <dcterms:created xsi:type="dcterms:W3CDTF">2021-05-03T07:11:00Z</dcterms:created>
  <dcterms:modified xsi:type="dcterms:W3CDTF">2021-09-14T06:23:00Z</dcterms:modified>
</cp:coreProperties>
</file>