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007CA425" w:rsidR="006D5AFB" w:rsidRPr="006D5AFB" w:rsidRDefault="003A037B" w:rsidP="003232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3232CB">
              <w:rPr>
                <w:sz w:val="24"/>
                <w:szCs w:val="24"/>
              </w:rPr>
              <w:t>Pure Mathematics 2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045F2DA8" w:rsidR="006D5AFB" w:rsidRPr="006D5AFB" w:rsidRDefault="00896F43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480920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480920" w:rsidRPr="00671081" w:rsidRDefault="00E0677D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5D171FFB" w14:textId="77777777" w:rsidR="00764AC2" w:rsidRDefault="00896F43" w:rsidP="00745D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24 Differential equations</w:t>
            </w:r>
          </w:p>
          <w:p w14:paraId="39AAF269" w14:textId="118C37EF" w:rsidR="008E1718" w:rsidRPr="00EE572D" w:rsidRDefault="008E1718" w:rsidP="00745D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24.1 First order differential equations p. 545</w:t>
            </w:r>
          </w:p>
        </w:tc>
        <w:tc>
          <w:tcPr>
            <w:tcW w:w="2880" w:type="dxa"/>
          </w:tcPr>
          <w:p w14:paraId="6E294409" w14:textId="4408FDF1" w:rsidR="00D83683" w:rsidRPr="00D83683" w:rsidRDefault="00D02EFF" w:rsidP="00D83683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</w:t>
            </w:r>
            <w:r w:rsidR="00896F43">
              <w:rPr>
                <w:color w:val="2E74B5" w:themeColor="accent1" w:themeShade="BF"/>
              </w:rPr>
              <w:t>6 Differential equations</w:t>
            </w:r>
            <w:r w:rsidR="00D83683">
              <w:rPr>
                <w:color w:val="2E74B5" w:themeColor="accent1" w:themeShade="BF"/>
              </w:rPr>
              <w:t>: F</w:t>
            </w:r>
            <w:r w:rsidR="00D83683" w:rsidRPr="00D83683">
              <w:rPr>
                <w:color w:val="2E74B5" w:themeColor="accent1" w:themeShade="BF"/>
              </w:rPr>
              <w:t>ind an integrating factor for a first order linear</w:t>
            </w:r>
            <w:r w:rsidR="00D83683">
              <w:rPr>
                <w:color w:val="2E74B5" w:themeColor="accent1" w:themeShade="BF"/>
              </w:rPr>
              <w:t xml:space="preserve"> </w:t>
            </w:r>
            <w:r w:rsidR="00D83683" w:rsidRPr="00D83683">
              <w:rPr>
                <w:color w:val="2E74B5" w:themeColor="accent1" w:themeShade="BF"/>
              </w:rPr>
              <w:t>differential equation, and use an integrating</w:t>
            </w:r>
            <w:r w:rsidR="00D83683">
              <w:rPr>
                <w:color w:val="2E74B5" w:themeColor="accent1" w:themeShade="BF"/>
              </w:rPr>
              <w:t xml:space="preserve"> </w:t>
            </w:r>
            <w:r w:rsidR="00D83683" w:rsidRPr="00D83683">
              <w:rPr>
                <w:color w:val="2E74B5" w:themeColor="accent1" w:themeShade="BF"/>
              </w:rPr>
              <w:t>factor to find the general solution</w:t>
            </w:r>
            <w:r w:rsidR="00D83683">
              <w:rPr>
                <w:color w:val="2E74B5" w:themeColor="accent1" w:themeShade="BF"/>
              </w:rPr>
              <w:t>; r</w:t>
            </w:r>
            <w:r w:rsidR="00D83683" w:rsidRPr="00D83683">
              <w:rPr>
                <w:color w:val="2E74B5" w:themeColor="accent1" w:themeShade="BF"/>
              </w:rPr>
              <w:t>ecall the meaning of the terms ‘complementary</w:t>
            </w:r>
            <w:r w:rsidR="00D83683">
              <w:rPr>
                <w:color w:val="2E74B5" w:themeColor="accent1" w:themeShade="BF"/>
              </w:rPr>
              <w:t xml:space="preserve"> </w:t>
            </w:r>
            <w:r w:rsidR="00D83683" w:rsidRPr="00D83683">
              <w:rPr>
                <w:color w:val="2E74B5" w:themeColor="accent1" w:themeShade="BF"/>
              </w:rPr>
              <w:t>function’ and ‘particular integral’ in the context</w:t>
            </w:r>
            <w:r w:rsidR="00D83683">
              <w:rPr>
                <w:color w:val="2E74B5" w:themeColor="accent1" w:themeShade="BF"/>
              </w:rPr>
              <w:t xml:space="preserve"> </w:t>
            </w:r>
            <w:r w:rsidR="00D83683" w:rsidRPr="00D83683">
              <w:rPr>
                <w:color w:val="2E74B5" w:themeColor="accent1" w:themeShade="BF"/>
              </w:rPr>
              <w:t>of linear differential equations, and recall</w:t>
            </w:r>
            <w:r w:rsidR="00D83683">
              <w:rPr>
                <w:color w:val="2E74B5" w:themeColor="accent1" w:themeShade="BF"/>
              </w:rPr>
              <w:t xml:space="preserve"> </w:t>
            </w:r>
            <w:r w:rsidR="00D83683" w:rsidRPr="00D83683">
              <w:rPr>
                <w:color w:val="2E74B5" w:themeColor="accent1" w:themeShade="BF"/>
              </w:rPr>
              <w:t>that the general solution is the sum of the</w:t>
            </w:r>
            <w:r w:rsidR="00D83683">
              <w:rPr>
                <w:color w:val="2E74B5" w:themeColor="accent1" w:themeShade="BF"/>
              </w:rPr>
              <w:t xml:space="preserve"> </w:t>
            </w:r>
            <w:r w:rsidR="00D83683" w:rsidRPr="00D83683">
              <w:rPr>
                <w:color w:val="2E74B5" w:themeColor="accent1" w:themeShade="BF"/>
              </w:rPr>
              <w:t>complementary function and a particular integral</w:t>
            </w:r>
            <w:r w:rsidR="00D83683">
              <w:rPr>
                <w:color w:val="2E74B5" w:themeColor="accent1" w:themeShade="BF"/>
              </w:rPr>
              <w:t xml:space="preserve">; </w:t>
            </w:r>
            <w:r w:rsidR="00D83683" w:rsidRPr="00D83683">
              <w:rPr>
                <w:color w:val="2E74B5" w:themeColor="accent1" w:themeShade="BF"/>
              </w:rPr>
              <w:t>find the complementary function for a first or</w:t>
            </w:r>
            <w:r w:rsidR="00D83683">
              <w:rPr>
                <w:color w:val="2E74B5" w:themeColor="accent1" w:themeShade="BF"/>
              </w:rPr>
              <w:t xml:space="preserve"> </w:t>
            </w:r>
            <w:r w:rsidR="00D83683" w:rsidRPr="00D83683">
              <w:rPr>
                <w:color w:val="2E74B5" w:themeColor="accent1" w:themeShade="BF"/>
              </w:rPr>
              <w:t>second order linear differential equation with</w:t>
            </w:r>
            <w:r w:rsidR="00D83683">
              <w:rPr>
                <w:color w:val="2E74B5" w:themeColor="accent1" w:themeShade="BF"/>
              </w:rPr>
              <w:t xml:space="preserve"> </w:t>
            </w:r>
            <w:r w:rsidR="00D83683" w:rsidRPr="00D83683">
              <w:rPr>
                <w:color w:val="2E74B5" w:themeColor="accent1" w:themeShade="BF"/>
              </w:rPr>
              <w:t>constant coefficients</w:t>
            </w:r>
            <w:r w:rsidR="00D83683">
              <w:rPr>
                <w:color w:val="2E74B5" w:themeColor="accent1" w:themeShade="BF"/>
              </w:rPr>
              <w:t xml:space="preserve">; </w:t>
            </w:r>
            <w:r w:rsidR="00D83683" w:rsidRPr="00D83683">
              <w:rPr>
                <w:color w:val="2E74B5" w:themeColor="accent1" w:themeShade="BF"/>
              </w:rPr>
              <w:t xml:space="preserve">recall the form of, </w:t>
            </w:r>
            <w:r w:rsidR="00D83683">
              <w:rPr>
                <w:color w:val="2E74B5" w:themeColor="accent1" w:themeShade="BF"/>
              </w:rPr>
              <w:t xml:space="preserve">and find, a particular integral </w:t>
            </w:r>
            <w:r w:rsidR="00D83683" w:rsidRPr="00D83683">
              <w:rPr>
                <w:color w:val="2E74B5" w:themeColor="accent1" w:themeShade="BF"/>
              </w:rPr>
              <w:t>for a first or second order linear</w:t>
            </w:r>
            <w:r w:rsidR="00D83683">
              <w:rPr>
                <w:color w:val="2E74B5" w:themeColor="accent1" w:themeShade="BF"/>
              </w:rPr>
              <w:t xml:space="preserve"> differential </w:t>
            </w:r>
            <w:r w:rsidR="00D83683" w:rsidRPr="00D83683">
              <w:rPr>
                <w:color w:val="2E74B5" w:themeColor="accent1" w:themeShade="BF"/>
              </w:rPr>
              <w:t>equation in the cases where a polynomial or</w:t>
            </w:r>
          </w:p>
          <w:p w14:paraId="5E4F5D9E" w14:textId="77CBAA47" w:rsidR="00D83683" w:rsidRPr="00D83683" w:rsidRDefault="00D83683" w:rsidP="00D83683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proofErr w:type="spellStart"/>
            <w:r w:rsidRPr="00D83683">
              <w:rPr>
                <w:i/>
                <w:iCs/>
                <w:color w:val="2E74B5" w:themeColor="accent1" w:themeShade="BF"/>
              </w:rPr>
              <w:t>a</w:t>
            </w:r>
            <w:r w:rsidRPr="00D83683">
              <w:rPr>
                <w:color w:val="2E74B5" w:themeColor="accent1" w:themeShade="BF"/>
              </w:rPr>
              <w:t>e</w:t>
            </w:r>
            <w:r w:rsidRPr="00D83683">
              <w:rPr>
                <w:color w:val="2E74B5" w:themeColor="accent1" w:themeShade="BF"/>
                <w:vertAlign w:val="superscript"/>
              </w:rPr>
              <w:t>bx</w:t>
            </w:r>
            <w:proofErr w:type="spellEnd"/>
            <w:r w:rsidRPr="00D83683">
              <w:rPr>
                <w:color w:val="2E74B5" w:themeColor="accent1" w:themeShade="BF"/>
              </w:rPr>
              <w:t xml:space="preserve"> or </w:t>
            </w:r>
            <w:proofErr w:type="spellStart"/>
            <w:r w:rsidRPr="00D83683">
              <w:rPr>
                <w:i/>
                <w:iCs/>
                <w:color w:val="2E74B5" w:themeColor="accent1" w:themeShade="BF"/>
              </w:rPr>
              <w:t>a</w:t>
            </w:r>
            <w:r w:rsidRPr="00D83683">
              <w:rPr>
                <w:color w:val="2E74B5" w:themeColor="accent1" w:themeShade="BF"/>
              </w:rPr>
              <w:t>cos</w:t>
            </w:r>
            <w:proofErr w:type="spellEnd"/>
            <w:r w:rsidRPr="00D83683">
              <w:rPr>
                <w:color w:val="2E74B5" w:themeColor="accent1" w:themeShade="BF"/>
              </w:rPr>
              <w:t xml:space="preserve"> </w:t>
            </w:r>
            <w:proofErr w:type="spellStart"/>
            <w:r w:rsidRPr="00D83683">
              <w:rPr>
                <w:i/>
                <w:iCs/>
                <w:color w:val="2E74B5" w:themeColor="accent1" w:themeShade="BF"/>
              </w:rPr>
              <w:t>px</w:t>
            </w:r>
            <w:proofErr w:type="spellEnd"/>
            <w:r w:rsidRPr="00D83683">
              <w:rPr>
                <w:color w:val="2E74B5" w:themeColor="accent1" w:themeShade="BF"/>
              </w:rPr>
              <w:t xml:space="preserve"> + </w:t>
            </w:r>
            <w:proofErr w:type="spellStart"/>
            <w:r w:rsidRPr="00D83683">
              <w:rPr>
                <w:i/>
                <w:iCs/>
                <w:color w:val="2E74B5" w:themeColor="accent1" w:themeShade="BF"/>
              </w:rPr>
              <w:t>b</w:t>
            </w:r>
            <w:r w:rsidRPr="00D83683">
              <w:rPr>
                <w:color w:val="2E74B5" w:themeColor="accent1" w:themeShade="BF"/>
              </w:rPr>
              <w:t>sin</w:t>
            </w:r>
            <w:proofErr w:type="spellEnd"/>
            <w:r w:rsidRPr="00D83683">
              <w:rPr>
                <w:color w:val="2E74B5" w:themeColor="accent1" w:themeShade="BF"/>
              </w:rPr>
              <w:t xml:space="preserve"> </w:t>
            </w:r>
            <w:proofErr w:type="spellStart"/>
            <w:r w:rsidRPr="00D83683">
              <w:rPr>
                <w:i/>
                <w:iCs/>
                <w:color w:val="2E74B5" w:themeColor="accent1" w:themeShade="BF"/>
              </w:rPr>
              <w:t>px</w:t>
            </w:r>
            <w:proofErr w:type="spellEnd"/>
            <w:r w:rsidRPr="00D83683">
              <w:rPr>
                <w:color w:val="2E74B5" w:themeColor="accent1" w:themeShade="BF"/>
              </w:rPr>
              <w:t xml:space="preserve"> </w:t>
            </w:r>
            <w:r>
              <w:rPr>
                <w:color w:val="2E74B5" w:themeColor="accent1" w:themeShade="BF"/>
              </w:rPr>
              <w:t xml:space="preserve">is a suitable form, </w:t>
            </w:r>
            <w:r w:rsidRPr="00D83683">
              <w:rPr>
                <w:color w:val="2E74B5" w:themeColor="accent1" w:themeShade="BF"/>
              </w:rPr>
              <w:t>and in other simple cases find the appropriate</w:t>
            </w:r>
            <w:r>
              <w:rPr>
                <w:color w:val="2E74B5" w:themeColor="accent1" w:themeShade="BF"/>
              </w:rPr>
              <w:t xml:space="preserve"> </w:t>
            </w:r>
            <w:r w:rsidRPr="00D83683">
              <w:rPr>
                <w:color w:val="2E74B5" w:themeColor="accent1" w:themeShade="BF"/>
              </w:rPr>
              <w:t>coefficient(s) given a suitable form of particular</w:t>
            </w:r>
            <w:r>
              <w:rPr>
                <w:color w:val="2E74B5" w:themeColor="accent1" w:themeShade="BF"/>
              </w:rPr>
              <w:t xml:space="preserve"> </w:t>
            </w:r>
            <w:r w:rsidRPr="00D83683">
              <w:rPr>
                <w:color w:val="2E74B5" w:themeColor="accent1" w:themeShade="BF"/>
              </w:rPr>
              <w:t>integral</w:t>
            </w:r>
            <w:r>
              <w:rPr>
                <w:color w:val="2E74B5" w:themeColor="accent1" w:themeShade="BF"/>
              </w:rPr>
              <w:t xml:space="preserve">; </w:t>
            </w:r>
            <w:r w:rsidRPr="00D83683">
              <w:rPr>
                <w:color w:val="2E74B5" w:themeColor="accent1" w:themeShade="BF"/>
              </w:rPr>
              <w:t xml:space="preserve">use a given substitution to reduce </w:t>
            </w:r>
            <w:r w:rsidRPr="00D83683">
              <w:rPr>
                <w:color w:val="2E74B5" w:themeColor="accent1" w:themeShade="BF"/>
              </w:rPr>
              <w:lastRenderedPageBreak/>
              <w:t>a differential</w:t>
            </w:r>
            <w:r>
              <w:rPr>
                <w:color w:val="2E74B5" w:themeColor="accent1" w:themeShade="BF"/>
              </w:rPr>
              <w:t xml:space="preserve"> </w:t>
            </w:r>
            <w:r w:rsidRPr="00D83683">
              <w:rPr>
                <w:color w:val="2E74B5" w:themeColor="accent1" w:themeShade="BF"/>
              </w:rPr>
              <w:t>equation to a first or second order linear equation</w:t>
            </w:r>
            <w:r>
              <w:rPr>
                <w:color w:val="2E74B5" w:themeColor="accent1" w:themeShade="BF"/>
              </w:rPr>
              <w:t xml:space="preserve"> </w:t>
            </w:r>
            <w:r w:rsidRPr="00D83683">
              <w:rPr>
                <w:color w:val="2E74B5" w:themeColor="accent1" w:themeShade="BF"/>
              </w:rPr>
              <w:t>with constant coefficients or to a first order</w:t>
            </w:r>
          </w:p>
          <w:p w14:paraId="6E228A79" w14:textId="30EC6A0E" w:rsidR="00D83683" w:rsidRPr="00CF4F4D" w:rsidRDefault="00D83683" w:rsidP="00D83683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D83683">
              <w:rPr>
                <w:color w:val="2E74B5" w:themeColor="accent1" w:themeShade="BF"/>
              </w:rPr>
              <w:t>equation with separable variables</w:t>
            </w:r>
            <w:r>
              <w:rPr>
                <w:color w:val="2E74B5" w:themeColor="accent1" w:themeShade="BF"/>
              </w:rPr>
              <w:t xml:space="preserve">; use initial </w:t>
            </w:r>
            <w:r w:rsidRPr="00D83683">
              <w:rPr>
                <w:color w:val="2E74B5" w:themeColor="accent1" w:themeShade="BF"/>
              </w:rPr>
              <w:t>conditions to find a particular solution</w:t>
            </w:r>
            <w:r>
              <w:rPr>
                <w:color w:val="2E74B5" w:themeColor="accent1" w:themeShade="BF"/>
              </w:rPr>
              <w:t xml:space="preserve"> </w:t>
            </w:r>
            <w:r w:rsidRPr="00D83683">
              <w:rPr>
                <w:color w:val="2E74B5" w:themeColor="accent1" w:themeShade="BF"/>
              </w:rPr>
              <w:t>to a differential equation, and interpret a solution</w:t>
            </w:r>
            <w:r>
              <w:rPr>
                <w:color w:val="2E74B5" w:themeColor="accent1" w:themeShade="BF"/>
              </w:rPr>
              <w:t xml:space="preserve"> </w:t>
            </w:r>
            <w:r w:rsidRPr="00D83683">
              <w:rPr>
                <w:color w:val="2E74B5" w:themeColor="accent1" w:themeShade="BF"/>
              </w:rPr>
              <w:t>in terms of a problem modelled by a differential</w:t>
            </w:r>
            <w:r>
              <w:rPr>
                <w:color w:val="2E74B5" w:themeColor="accent1" w:themeShade="BF"/>
              </w:rPr>
              <w:t xml:space="preserve"> </w:t>
            </w:r>
            <w:r w:rsidRPr="00D83683">
              <w:rPr>
                <w:color w:val="2E74B5" w:themeColor="accent1" w:themeShade="BF"/>
              </w:rPr>
              <w:t>equation.</w:t>
            </w:r>
          </w:p>
        </w:tc>
        <w:tc>
          <w:tcPr>
            <w:tcW w:w="3780" w:type="dxa"/>
            <w:gridSpan w:val="2"/>
          </w:tcPr>
          <w:p w14:paraId="40C6115B" w14:textId="61648896" w:rsidR="005767E4" w:rsidRDefault="005767E4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bookmarkStart w:id="0" w:name="_GoBack"/>
            <w:r w:rsidRPr="005767E4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lastRenderedPageBreak/>
              <w:t>Note: see differential equations notes 2021.doc in 2021 files for general concepts</w:t>
            </w:r>
          </w:p>
          <w:bookmarkEnd w:id="0"/>
          <w:p w14:paraId="68D8CBB0" w14:textId="77777777" w:rsidR="005767E4" w:rsidRDefault="005767E4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4B03B946" w14:textId="75CE0864" w:rsidR="00A3251B" w:rsidRDefault="00A3251B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First order: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/dx</w:t>
            </w:r>
          </w:p>
          <w:p w14:paraId="797A6645" w14:textId="746E6ACA" w:rsidR="00A60CA0" w:rsidRPr="008E72EE" w:rsidRDefault="00A3251B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8E72E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Separation of variables: 9709</w:t>
            </w:r>
          </w:p>
          <w:p w14:paraId="7C24D265" w14:textId="77777777" w:rsidR="00A3251B" w:rsidRPr="008E72EE" w:rsidRDefault="00A3251B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2BA86674" w14:textId="14ECBC87" w:rsidR="00A3251B" w:rsidRPr="00482E76" w:rsidRDefault="00A3251B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482E7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Integrating factor</w:t>
            </w:r>
          </w:p>
          <w:p w14:paraId="59094F1F" w14:textId="76E4B0E8" w:rsidR="00A3251B" w:rsidRDefault="00A3251B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 w:rsidRPr="00482E7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 w:rsidR="00482E76" w:rsidRPr="00482E7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/dx + </w:t>
            </w:r>
            <w:proofErr w:type="spellStart"/>
            <w:r w:rsidR="00482E76" w:rsidRPr="00482E7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Fy</w:t>
            </w:r>
            <w:proofErr w:type="spellEnd"/>
            <w:r w:rsidR="00482E76" w:rsidRPr="00482E7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r w:rsidR="00482E7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G</w:t>
            </w:r>
          </w:p>
          <w:p w14:paraId="3E63BB61" w14:textId="10F1C6F7" w:rsidR="00482E76" w:rsidRPr="00482E76" w:rsidRDefault="00482E76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I =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</w:t>
            </w:r>
            <w:r w:rsidRPr="00482E76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  <w:vertAlign w:val="superscript"/>
              </w:rPr>
              <w:t>S</w:t>
            </w:r>
            <w:r w:rsidRPr="00482E76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>F</w:t>
            </w:r>
            <w:proofErr w:type="spellEnd"/>
            <w:r w:rsidRPr="00482E76">
              <w:rPr>
                <w:rFonts w:ascii="Calibri" w:eastAsiaTheme="minorEastAsia" w:hAnsi="Calibri" w:cs="Calibri"/>
                <w:color w:val="2E74B5" w:themeColor="accent1" w:themeShade="BF"/>
                <w:sz w:val="21"/>
                <w:vertAlign w:val="superscript"/>
              </w:rPr>
              <w:t xml:space="preserve"> dx</w:t>
            </w:r>
          </w:p>
          <w:p w14:paraId="266AA61B" w14:textId="633AF5F2" w:rsidR="00482E76" w:rsidRPr="008E72EE" w:rsidRDefault="00482E76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8E72E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 I:</w:t>
            </w:r>
          </w:p>
          <w:p w14:paraId="67FA3C6C" w14:textId="0F046077" w:rsidR="00482E76" w:rsidRPr="003D0B0E" w:rsidRDefault="00482E76" w:rsidP="003D0B0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d/dx (</w:t>
            </w:r>
            <w:proofErr w:type="spellStart"/>
            <w:r w:rsidR="003D0B0E"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</w:t>
            </w:r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</w:t>
            </w:r>
            <w:proofErr w:type="spellEnd"/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 = G/I</w:t>
            </w:r>
          </w:p>
          <w:p w14:paraId="4A73A94D" w14:textId="77777777" w:rsidR="00482E76" w:rsidRPr="003D0B0E" w:rsidRDefault="00482E76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or</w:t>
            </w:r>
          </w:p>
          <w:p w14:paraId="5232BBC6" w14:textId="59C405BE" w:rsidR="00482E76" w:rsidRPr="003D0B0E" w:rsidRDefault="00482E76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yI</w:t>
            </w:r>
            <w:proofErr w:type="spellEnd"/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= </w:t>
            </w:r>
            <w:r w:rsidRPr="003D0B0E">
              <w:rPr>
                <w:rFonts w:ascii="Calibri" w:eastAsiaTheme="minorEastAsia" w:hAnsi="Calibri" w:cs="Calibri"/>
                <w:b/>
                <w:bCs/>
                <w:color w:val="2E74B5" w:themeColor="accent1" w:themeShade="BF"/>
                <w:sz w:val="21"/>
              </w:rPr>
              <w:t>S</w:t>
            </w:r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G/I dx</w:t>
            </w:r>
          </w:p>
          <w:p w14:paraId="6C3D0111" w14:textId="7E357925" w:rsidR="003D0B0E" w:rsidRDefault="003D0B0E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6475734E" w14:textId="3F2BC696" w:rsidR="003D0B0E" w:rsidRDefault="003D0B0E" w:rsidP="003D0B0E">
            <w:pPr>
              <w:pStyle w:val="ListParagraph"/>
              <w:numPr>
                <w:ilvl w:val="0"/>
                <w:numId w:val="4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Isolate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dy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/dx</w:t>
            </w:r>
          </w:p>
          <w:p w14:paraId="0D6E4688" w14:textId="5457C5C1" w:rsidR="003D0B0E" w:rsidRDefault="003D0B0E" w:rsidP="003D0B0E">
            <w:pPr>
              <w:pStyle w:val="ListParagraph"/>
              <w:numPr>
                <w:ilvl w:val="0"/>
                <w:numId w:val="4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Find I</w:t>
            </w:r>
          </w:p>
          <w:p w14:paraId="464A6C75" w14:textId="12D2EACE" w:rsidR="003D0B0E" w:rsidRPr="003D0B0E" w:rsidRDefault="003D0B0E" w:rsidP="003D0B0E">
            <w:pPr>
              <w:pStyle w:val="ListParagraph"/>
              <w:numPr>
                <w:ilvl w:val="0"/>
                <w:numId w:val="4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Solve</w:t>
            </w:r>
          </w:p>
          <w:p w14:paraId="4F6F4DD1" w14:textId="2340139C" w:rsidR="00020CC2" w:rsidRPr="003D0B0E" w:rsidRDefault="00020CC2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24.2</w:t>
            </w:r>
          </w:p>
          <w:p w14:paraId="3D586BBD" w14:textId="77777777" w:rsidR="00020CC2" w:rsidRDefault="00020CC2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A3251B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24.3</w:t>
            </w:r>
          </w:p>
          <w:p w14:paraId="4086A70B" w14:textId="77777777" w:rsidR="003D0B0E" w:rsidRDefault="003D0B0E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  <w:p w14:paraId="08C33268" w14:textId="0E9AC5F7" w:rsidR="003D0B0E" w:rsidRPr="003D0B0E" w:rsidRDefault="003D0B0E" w:rsidP="003D0B0E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3D0B0E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Particular solution: use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initial conditions</w:t>
            </w:r>
          </w:p>
          <w:p w14:paraId="5D665DC2" w14:textId="77777777" w:rsidR="00020CC2" w:rsidRPr="00A3251B" w:rsidRDefault="00020CC2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A3251B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24.4</w:t>
            </w:r>
          </w:p>
          <w:p w14:paraId="3F860D89" w14:textId="77777777" w:rsidR="00020CC2" w:rsidRPr="00A3251B" w:rsidRDefault="00020CC2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A3251B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24.5</w:t>
            </w:r>
          </w:p>
          <w:p w14:paraId="485456FF" w14:textId="77777777" w:rsidR="00020CC2" w:rsidRDefault="00020CC2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A3251B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24A 1, 2, 3, 4, 5, 6, 7, 8, 9</w:t>
            </w:r>
          </w:p>
          <w:p w14:paraId="669A4868" w14:textId="77777777" w:rsidR="00BA3D76" w:rsidRDefault="00BA3D76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  <w:p w14:paraId="3E27261D" w14:textId="3FE8B38F" w:rsidR="00BA3D76" w:rsidRPr="00BA3D76" w:rsidRDefault="00BA3D76" w:rsidP="007B65E3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BA3D76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 xml:space="preserve">diff </w:t>
            </w:r>
            <w:proofErr w:type="spellStart"/>
            <w:r w:rsidRPr="00BA3D76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>eq.s</w:t>
            </w:r>
            <w:proofErr w:type="spellEnd"/>
            <w:r w:rsidRPr="00BA3D76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 xml:space="preserve"> - considering an </w:t>
            </w:r>
            <w:proofErr w:type="spellStart"/>
            <w:r w:rsidRPr="00BA3D76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>excuded</w:t>
            </w:r>
            <w:proofErr w:type="spellEnd"/>
            <w:r w:rsidRPr="00BA3D76">
              <w:rPr>
                <w:rFonts w:ascii="Calibri" w:eastAsiaTheme="minorEastAsia" w:hAnsi="Calibri" w:cs="Calibri"/>
                <w:color w:val="2E74B5" w:themeColor="accent1" w:themeShade="BF"/>
                <w:sz w:val="21"/>
                <w:highlight w:val="yellow"/>
              </w:rPr>
              <w:t xml:space="preserve"> solution, see PM3 p.248 10.2, PM3 and FPM2 l/plans</w:t>
            </w:r>
          </w:p>
        </w:tc>
        <w:tc>
          <w:tcPr>
            <w:tcW w:w="3240" w:type="dxa"/>
            <w:gridSpan w:val="2"/>
          </w:tcPr>
          <w:p w14:paraId="7EEDFE93" w14:textId="72E90D17" w:rsidR="00A24836" w:rsidRPr="00BA3D76" w:rsidRDefault="00A24836" w:rsidP="00480920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480920" w:rsidRPr="00671081" w:rsidRDefault="00480920" w:rsidP="00480920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3A037B" w:rsidRPr="00671081" w14:paraId="338605A9" w14:textId="77777777" w:rsidTr="002421DB">
        <w:tc>
          <w:tcPr>
            <w:tcW w:w="805" w:type="dxa"/>
          </w:tcPr>
          <w:p w14:paraId="7C41DFFF" w14:textId="600B200A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063B2889" w14:textId="62D504F4" w:rsidR="003A037B" w:rsidRPr="007A2EE3" w:rsidRDefault="003A037B" w:rsidP="003A037B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212BFE8D" w:rsidR="003A037B" w:rsidRPr="00CF4F4D" w:rsidRDefault="003A037B" w:rsidP="003A037B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2FD12F01" w:rsidR="003A037B" w:rsidRPr="00213BC9" w:rsidRDefault="003A037B" w:rsidP="00EA559C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3A037B" w:rsidRPr="00213BC9" w:rsidRDefault="003A037B" w:rsidP="003A037B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3A037B" w:rsidRPr="00671081" w:rsidRDefault="003A037B" w:rsidP="003A037B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671081" w14:paraId="4CE6CC68" w14:textId="77777777" w:rsidTr="002421DB">
        <w:tc>
          <w:tcPr>
            <w:tcW w:w="805" w:type="dxa"/>
          </w:tcPr>
          <w:p w14:paraId="44B80805" w14:textId="070513A8" w:rsidR="00664C9F" w:rsidRPr="00671081" w:rsidRDefault="0025041E" w:rsidP="00664C9F">
            <w:pPr>
              <w:rPr>
                <w:color w:val="2E74B5" w:themeColor="accent1" w:themeShade="BF"/>
              </w:rPr>
            </w:pPr>
            <w:r>
              <w:br w:type="page"/>
            </w:r>
            <w:r w:rsidR="00664C9F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4B4A80CC" w14:textId="77777777" w:rsidR="00664C9F" w:rsidRDefault="00896F43" w:rsidP="00745DE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24 Differential equations</w:t>
            </w:r>
          </w:p>
          <w:p w14:paraId="63187A9C" w14:textId="1D555E5D" w:rsidR="008E1718" w:rsidRPr="007A2EE3" w:rsidRDefault="008E1718" w:rsidP="00745DE7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24.2 Second order differential equations: homogen</w:t>
            </w:r>
            <w:r w:rsidR="0058228F">
              <w:rPr>
                <w:color w:val="2E74B5" w:themeColor="accent1" w:themeShade="BF"/>
              </w:rPr>
              <w:t>e</w:t>
            </w:r>
            <w:r>
              <w:rPr>
                <w:color w:val="2E74B5" w:themeColor="accent1" w:themeShade="BF"/>
              </w:rPr>
              <w:t>ous case p. 550</w:t>
            </w:r>
          </w:p>
        </w:tc>
        <w:tc>
          <w:tcPr>
            <w:tcW w:w="2880" w:type="dxa"/>
          </w:tcPr>
          <w:p w14:paraId="3D24A7DC" w14:textId="41698DEB" w:rsidR="00664C9F" w:rsidRPr="00CF4F4D" w:rsidRDefault="00896F43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6 Differential equations</w:t>
            </w:r>
          </w:p>
        </w:tc>
        <w:tc>
          <w:tcPr>
            <w:tcW w:w="3780" w:type="dxa"/>
            <w:gridSpan w:val="2"/>
          </w:tcPr>
          <w:p w14:paraId="24395EDC" w14:textId="3BC27EEB" w:rsidR="001B042B" w:rsidRDefault="001B042B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NOTE: linear DE – coefficients of y, y’ y’’ are constants not functions</w:t>
            </w:r>
          </w:p>
          <w:p w14:paraId="03C43A61" w14:textId="1C152D08" w:rsidR="00664C9F" w:rsidRDefault="00764655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Second order: d</w:t>
            </w:r>
            <w:r w:rsidRPr="00764655">
              <w:rPr>
                <w:color w:val="2E74B5" w:themeColor="accent1" w:themeShade="BF"/>
                <w:sz w:val="21"/>
                <w:vertAlign w:val="superscript"/>
              </w:rPr>
              <w:t>2</w:t>
            </w:r>
            <w:r>
              <w:rPr>
                <w:color w:val="2E74B5" w:themeColor="accent1" w:themeShade="BF"/>
                <w:sz w:val="21"/>
              </w:rPr>
              <w:t>y/dx</w:t>
            </w:r>
            <w:r w:rsidRPr="00764655">
              <w:rPr>
                <w:color w:val="2E74B5" w:themeColor="accent1" w:themeShade="BF"/>
                <w:sz w:val="21"/>
                <w:vertAlign w:val="superscript"/>
              </w:rPr>
              <w:t>2</w:t>
            </w:r>
          </w:p>
          <w:p w14:paraId="1F7545D5" w14:textId="77777777" w:rsidR="00764655" w:rsidRDefault="00764655" w:rsidP="00664C9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Homogenous DE:  = 0</w:t>
            </w:r>
          </w:p>
          <w:p w14:paraId="3E4555EB" w14:textId="6A999302" w:rsidR="00764655" w:rsidRDefault="00764655" w:rsidP="00764655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Exp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functions base e have derivatives which are multiples of original function</w:t>
            </w:r>
          </w:p>
          <w:p w14:paraId="39DCD41E" w14:textId="77777777" w:rsidR="00A97A4A" w:rsidRDefault="00A97A4A" w:rsidP="00764655">
            <w:pPr>
              <w:rPr>
                <w:color w:val="2E74B5" w:themeColor="accent1" w:themeShade="BF"/>
                <w:sz w:val="21"/>
              </w:rPr>
            </w:pPr>
          </w:p>
          <w:p w14:paraId="53B99AF1" w14:textId="77777777" w:rsidR="00F344DF" w:rsidRDefault="00F344DF" w:rsidP="00F344DF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24.6: first order</w:t>
            </w:r>
          </w:p>
          <w:p w14:paraId="3EA2F13B" w14:textId="77777777" w:rsidR="00764655" w:rsidRDefault="00A97A4A" w:rsidP="00A97A4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Auxiliary equation: s</w:t>
            </w:r>
            <w:r w:rsidR="00764655">
              <w:rPr>
                <w:color w:val="2E74B5" w:themeColor="accent1" w:themeShade="BF"/>
                <w:sz w:val="21"/>
              </w:rPr>
              <w:t xml:space="preserve">et quadratic </w:t>
            </w:r>
            <w:r w:rsidR="00896983">
              <w:rPr>
                <w:color w:val="2E74B5" w:themeColor="accent1" w:themeShade="BF"/>
                <w:sz w:val="21"/>
              </w:rPr>
              <w:t xml:space="preserve">of coefficients </w:t>
            </w:r>
            <w:r w:rsidR="00764655">
              <w:rPr>
                <w:color w:val="2E74B5" w:themeColor="accent1" w:themeShade="BF"/>
                <w:sz w:val="21"/>
              </w:rPr>
              <w:t>to find exponents</w:t>
            </w:r>
            <w:r w:rsidR="00896983">
              <w:rPr>
                <w:color w:val="2E74B5" w:themeColor="accent1" w:themeShade="BF"/>
                <w:sz w:val="21"/>
              </w:rPr>
              <w:t xml:space="preserve"> of Ae and Be</w:t>
            </w:r>
          </w:p>
          <w:p w14:paraId="70FFF3D4" w14:textId="2F8BD63D" w:rsidR="00896983" w:rsidRDefault="00896983" w:rsidP="00A97A4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Complementary function</w:t>
            </w:r>
            <w:r w:rsidR="001B042B">
              <w:rPr>
                <w:color w:val="2E74B5" w:themeColor="accent1" w:themeShade="BF"/>
                <w:sz w:val="21"/>
              </w:rPr>
              <w:t>:</w:t>
            </w:r>
          </w:p>
          <w:p w14:paraId="025D7EC4" w14:textId="27B3D729" w:rsidR="00896983" w:rsidRPr="00F344DF" w:rsidRDefault="00EF7ED3" w:rsidP="006E3CF8">
            <w:pPr>
              <w:rPr>
                <w:color w:val="2E74B5" w:themeColor="accent1" w:themeShade="BF"/>
                <w:sz w:val="21"/>
                <w:lang w:val="es-CO"/>
              </w:rPr>
            </w:pPr>
            <w:r w:rsidRPr="00F344DF">
              <w:rPr>
                <w:color w:val="2E74B5" w:themeColor="accent1" w:themeShade="BF"/>
                <w:sz w:val="21"/>
                <w:lang w:val="es-CO"/>
              </w:rPr>
              <w:t>y</w:t>
            </w:r>
            <w:r w:rsidR="00896983" w:rsidRPr="00F344DF">
              <w:rPr>
                <w:color w:val="2E74B5" w:themeColor="accent1" w:themeShade="BF"/>
                <w:sz w:val="21"/>
                <w:lang w:val="es-CO"/>
              </w:rPr>
              <w:t xml:space="preserve"> = </w:t>
            </w:r>
            <w:proofErr w:type="spellStart"/>
            <w:r w:rsidR="00896983" w:rsidRPr="00F344DF">
              <w:rPr>
                <w:color w:val="2E74B5" w:themeColor="accent1" w:themeShade="BF"/>
                <w:sz w:val="21"/>
                <w:lang w:val="es-CO"/>
              </w:rPr>
              <w:t>Ae</w:t>
            </w:r>
            <w:proofErr w:type="spellEnd"/>
            <w:r w:rsidR="00896983" w:rsidRPr="006E3CF8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λ</w:t>
            </w:r>
            <w:r w:rsidR="006E3CF8" w:rsidRPr="00F344DF">
              <w:rPr>
                <w:rFonts w:cstheme="minorHAnsi"/>
                <w:color w:val="2E74B5" w:themeColor="accent1" w:themeShade="BF"/>
                <w:sz w:val="21"/>
                <w:vertAlign w:val="superscript"/>
                <w:lang w:val="es-CO"/>
              </w:rPr>
              <w:t xml:space="preserve">1x </w:t>
            </w:r>
            <w:r w:rsidR="006E3CF8" w:rsidRPr="00F344DF">
              <w:rPr>
                <w:rFonts w:cstheme="minorHAnsi"/>
                <w:color w:val="2E74B5" w:themeColor="accent1" w:themeShade="BF"/>
                <w:sz w:val="21"/>
                <w:lang w:val="es-CO"/>
              </w:rPr>
              <w:t xml:space="preserve">+ </w:t>
            </w:r>
            <w:r w:rsidR="006E3CF8" w:rsidRPr="00F344DF">
              <w:rPr>
                <w:color w:val="2E74B5" w:themeColor="accent1" w:themeShade="BF"/>
                <w:sz w:val="21"/>
                <w:lang w:val="es-CO"/>
              </w:rPr>
              <w:t>Be</w:t>
            </w:r>
            <w:r w:rsidR="006E3CF8" w:rsidRPr="006E3CF8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λ</w:t>
            </w:r>
            <w:r w:rsidR="006E3CF8" w:rsidRPr="00F344DF">
              <w:rPr>
                <w:rFonts w:cstheme="minorHAnsi"/>
                <w:color w:val="2E74B5" w:themeColor="accent1" w:themeShade="BF"/>
                <w:sz w:val="21"/>
                <w:vertAlign w:val="superscript"/>
                <w:lang w:val="es-CO"/>
              </w:rPr>
              <w:t>2x</w:t>
            </w:r>
          </w:p>
          <w:p w14:paraId="22A6A5F9" w14:textId="70AACC0F" w:rsidR="001B042B" w:rsidRDefault="001B042B" w:rsidP="00A97A4A">
            <w:pPr>
              <w:rPr>
                <w:color w:val="2E74B5" w:themeColor="accent1" w:themeShade="BF"/>
                <w:sz w:val="21"/>
                <w:lang w:val="es-CO"/>
              </w:rPr>
            </w:pPr>
            <w:r w:rsidRPr="001B042B">
              <w:rPr>
                <w:color w:val="2E74B5" w:themeColor="accent1" w:themeShade="BF"/>
                <w:sz w:val="21"/>
                <w:u w:val="single"/>
                <w:lang w:val="es-CO"/>
              </w:rPr>
              <w:t>ALG</w:t>
            </w:r>
            <w:r>
              <w:rPr>
                <w:color w:val="2E74B5" w:themeColor="accent1" w:themeShade="BF"/>
                <w:sz w:val="21"/>
                <w:lang w:val="es-CO"/>
              </w:rPr>
              <w:t>:</w:t>
            </w:r>
          </w:p>
          <w:p w14:paraId="63635415" w14:textId="13EB3695" w:rsidR="001B042B" w:rsidRDefault="001B042B" w:rsidP="001B042B">
            <w:pPr>
              <w:pStyle w:val="ListParagraph"/>
              <w:numPr>
                <w:ilvl w:val="0"/>
                <w:numId w:val="5"/>
              </w:num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 xml:space="preserve">Set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auxiliary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equation</w:t>
            </w:r>
            <w:proofErr w:type="spellEnd"/>
          </w:p>
          <w:p w14:paraId="3298455F" w14:textId="2722E9BB" w:rsidR="001B042B" w:rsidRDefault="001B042B" w:rsidP="001B042B">
            <w:pPr>
              <w:pStyle w:val="ListParagraph"/>
              <w:numPr>
                <w:ilvl w:val="0"/>
                <w:numId w:val="5"/>
              </w:numPr>
              <w:rPr>
                <w:color w:val="2E74B5" w:themeColor="accent1" w:themeShade="BF"/>
                <w:sz w:val="21"/>
                <w:lang w:val="es-CO"/>
              </w:rPr>
            </w:pP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Solve</w:t>
            </w:r>
            <w:proofErr w:type="spellEnd"/>
          </w:p>
          <w:p w14:paraId="17334AB3" w14:textId="07E8FF86" w:rsidR="001B042B" w:rsidRPr="001B042B" w:rsidRDefault="001B042B" w:rsidP="001B042B">
            <w:pPr>
              <w:pStyle w:val="ListParagraph"/>
              <w:numPr>
                <w:ilvl w:val="0"/>
                <w:numId w:val="5"/>
              </w:num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 xml:space="preserve">Set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complementary</w:t>
            </w:r>
            <w:proofErr w:type="spellEnd"/>
            <w:r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>
              <w:rPr>
                <w:color w:val="2E74B5" w:themeColor="accent1" w:themeShade="BF"/>
                <w:sz w:val="21"/>
                <w:lang w:val="es-CO"/>
              </w:rPr>
              <w:t>function</w:t>
            </w:r>
            <w:proofErr w:type="spellEnd"/>
          </w:p>
          <w:p w14:paraId="2827C5DC" w14:textId="7FBC9307" w:rsidR="00896983" w:rsidRPr="00F344DF" w:rsidRDefault="00F344DF" w:rsidP="00A97A4A">
            <w:pPr>
              <w:rPr>
                <w:color w:val="2E74B5" w:themeColor="accent1" w:themeShade="BF"/>
                <w:sz w:val="21"/>
                <w:lang w:val="es-CO"/>
              </w:rPr>
            </w:pPr>
            <w:r w:rsidRPr="00F344DF">
              <w:rPr>
                <w:color w:val="2E74B5" w:themeColor="accent1" w:themeShade="BF"/>
                <w:sz w:val="21"/>
                <w:lang w:val="es-CO"/>
              </w:rPr>
              <w:t>Ex 24.7</w:t>
            </w:r>
          </w:p>
          <w:p w14:paraId="109F5EF2" w14:textId="77777777" w:rsidR="001B042B" w:rsidRDefault="001B042B" w:rsidP="00A97A4A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D0A2448" w14:textId="572EC135" w:rsidR="001B042B" w:rsidRPr="001B042B" w:rsidRDefault="001B042B" w:rsidP="00A97A4A">
            <w:pPr>
              <w:rPr>
                <w:color w:val="2E74B5" w:themeColor="accent1" w:themeShade="BF"/>
                <w:sz w:val="21"/>
              </w:rPr>
            </w:pPr>
            <w:r w:rsidRPr="001B042B">
              <w:rPr>
                <w:color w:val="2E74B5" w:themeColor="accent1" w:themeShade="BF"/>
                <w:sz w:val="21"/>
              </w:rPr>
              <w:t xml:space="preserve">Repeated roots in </w:t>
            </w:r>
            <w:proofErr w:type="spellStart"/>
            <w:r w:rsidRPr="001B042B">
              <w:rPr>
                <w:color w:val="2E74B5" w:themeColor="accent1" w:themeShade="BF"/>
                <w:sz w:val="21"/>
              </w:rPr>
              <w:t>auxillary</w:t>
            </w:r>
            <w:proofErr w:type="spellEnd"/>
            <w:r w:rsidRPr="001B042B">
              <w:rPr>
                <w:color w:val="2E74B5" w:themeColor="accent1" w:themeShade="BF"/>
                <w:sz w:val="21"/>
              </w:rPr>
              <w:t xml:space="preserve"> equation,</w:t>
            </w:r>
          </w:p>
          <w:p w14:paraId="37B6EF49" w14:textId="48C96743" w:rsidR="001B042B" w:rsidRPr="001B042B" w:rsidRDefault="00C14E96" w:rsidP="00A97A4A">
            <w:pPr>
              <w:rPr>
                <w:color w:val="2E74B5" w:themeColor="accent1" w:themeShade="BF"/>
                <w:sz w:val="21"/>
              </w:rPr>
            </w:pPr>
            <w:r w:rsidRPr="00C14E96">
              <w:rPr>
                <w:color w:val="2E74B5" w:themeColor="accent1" w:themeShade="BF"/>
                <w:sz w:val="21"/>
              </w:rPr>
              <w:t xml:space="preserve">y = </w:t>
            </w:r>
            <w:proofErr w:type="spellStart"/>
            <w:r>
              <w:rPr>
                <w:color w:val="2E74B5" w:themeColor="accent1" w:themeShade="BF"/>
                <w:sz w:val="21"/>
              </w:rPr>
              <w:t>A</w:t>
            </w:r>
            <w:r w:rsidR="001B042B">
              <w:rPr>
                <w:color w:val="2E74B5" w:themeColor="accent1" w:themeShade="BF"/>
                <w:sz w:val="21"/>
              </w:rPr>
              <w:t>x</w:t>
            </w:r>
            <w:r w:rsidR="001B042B" w:rsidRPr="001B042B">
              <w:rPr>
                <w:color w:val="2E74B5" w:themeColor="accent1" w:themeShade="BF"/>
                <w:sz w:val="21"/>
              </w:rPr>
              <w:t>e</w:t>
            </w:r>
            <w:r w:rsidR="001B042B" w:rsidRPr="006E3CF8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λ</w:t>
            </w:r>
            <w:r w:rsidR="001B042B" w:rsidRPr="001B042B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x</w:t>
            </w:r>
            <w:proofErr w:type="spellEnd"/>
            <w:r w:rsidR="001B042B">
              <w:rPr>
                <w:color w:val="2E74B5" w:themeColor="accent1" w:themeShade="BF"/>
                <w:sz w:val="21"/>
              </w:rPr>
              <w:t xml:space="preserve"> other</w:t>
            </w:r>
            <w:r>
              <w:rPr>
                <w:color w:val="2E74B5" w:themeColor="accent1" w:themeShade="BF"/>
                <w:sz w:val="21"/>
              </w:rPr>
              <w:t xml:space="preserve"> term B</w:t>
            </w:r>
            <w:r w:rsidR="001B042B" w:rsidRPr="001B042B">
              <w:rPr>
                <w:color w:val="2E74B5" w:themeColor="accent1" w:themeShade="BF"/>
                <w:sz w:val="21"/>
              </w:rPr>
              <w:t>e</w:t>
            </w:r>
            <w:r w:rsidR="001B042B" w:rsidRPr="006E3CF8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λ</w:t>
            </w:r>
            <w:r w:rsidR="001B042B" w:rsidRPr="001B042B">
              <w:rPr>
                <w:rFonts w:cstheme="minorHAnsi"/>
                <w:color w:val="2E74B5" w:themeColor="accent1" w:themeShade="BF"/>
                <w:sz w:val="21"/>
                <w:vertAlign w:val="superscript"/>
              </w:rPr>
              <w:t>1x</w:t>
            </w:r>
          </w:p>
          <w:p w14:paraId="1279E0B4" w14:textId="32EBE0F8" w:rsidR="00F344DF" w:rsidRPr="00C14E96" w:rsidRDefault="00F344DF" w:rsidP="00A97A4A">
            <w:pPr>
              <w:rPr>
                <w:color w:val="2E74B5" w:themeColor="accent1" w:themeShade="BF"/>
                <w:sz w:val="21"/>
              </w:rPr>
            </w:pPr>
            <w:r w:rsidRPr="00C14E96">
              <w:rPr>
                <w:color w:val="2E74B5" w:themeColor="accent1" w:themeShade="BF"/>
                <w:sz w:val="21"/>
              </w:rPr>
              <w:t>Ex 24.8</w:t>
            </w:r>
          </w:p>
          <w:p w14:paraId="498590B4" w14:textId="77777777" w:rsidR="00C14E96" w:rsidRPr="00C14E96" w:rsidRDefault="00C14E96" w:rsidP="00A97A4A">
            <w:pPr>
              <w:rPr>
                <w:color w:val="2E74B5" w:themeColor="accent1" w:themeShade="BF"/>
                <w:sz w:val="21"/>
              </w:rPr>
            </w:pPr>
          </w:p>
          <w:p w14:paraId="240D20AF" w14:textId="2B735CDC" w:rsidR="00C14E96" w:rsidRPr="00C14E96" w:rsidRDefault="00C14E96" w:rsidP="00A97A4A">
            <w:pPr>
              <w:rPr>
                <w:color w:val="2E74B5" w:themeColor="accent1" w:themeShade="BF"/>
                <w:sz w:val="21"/>
              </w:rPr>
            </w:pPr>
            <w:r w:rsidRPr="00C14E96">
              <w:rPr>
                <w:color w:val="2E74B5" w:themeColor="accent1" w:themeShade="BF"/>
                <w:sz w:val="21"/>
              </w:rPr>
              <w:t>Imaginary roots in auxiliary equation,</w:t>
            </w:r>
          </w:p>
          <w:p w14:paraId="03BE3453" w14:textId="32DDCE34" w:rsidR="00C14E96" w:rsidRDefault="00C14E96" w:rsidP="00C14E96">
            <w:pPr>
              <w:rPr>
                <w:color w:val="2E74B5" w:themeColor="accent1" w:themeShade="BF"/>
                <w:sz w:val="21"/>
                <w:lang w:val="es-CO"/>
              </w:rPr>
            </w:pPr>
            <w:r w:rsidRPr="00F344DF">
              <w:rPr>
                <w:color w:val="2E74B5" w:themeColor="accent1" w:themeShade="BF"/>
                <w:sz w:val="21"/>
                <w:lang w:val="es-CO"/>
              </w:rPr>
              <w:t xml:space="preserve">y = </w:t>
            </w:r>
            <w:proofErr w:type="spellStart"/>
            <w:r w:rsidRPr="00C14E96">
              <w:rPr>
                <w:color w:val="2E74B5" w:themeColor="accent1" w:themeShade="BF"/>
                <w:sz w:val="21"/>
                <w:lang w:val="es-CO"/>
              </w:rPr>
              <w:t>e</w:t>
            </w:r>
            <w:r w:rsidRPr="00C14E96">
              <w:rPr>
                <w:rFonts w:cstheme="minorHAnsi"/>
                <w:color w:val="2E74B5" w:themeColor="accent1" w:themeShade="BF"/>
                <w:sz w:val="21"/>
                <w:vertAlign w:val="superscript"/>
                <w:lang w:val="es-CO"/>
              </w:rPr>
              <w:t>rex</w:t>
            </w:r>
            <w:proofErr w:type="spellEnd"/>
            <w:r w:rsidRPr="00C14E96">
              <w:rPr>
                <w:color w:val="2E74B5" w:themeColor="accent1" w:themeShade="BF"/>
                <w:sz w:val="21"/>
                <w:lang w:val="es-CO"/>
              </w:rPr>
              <w:t xml:space="preserve"> (</w:t>
            </w:r>
            <w:proofErr w:type="spellStart"/>
            <w:r w:rsidRPr="00C14E96">
              <w:rPr>
                <w:color w:val="2E74B5" w:themeColor="accent1" w:themeShade="BF"/>
                <w:sz w:val="21"/>
                <w:lang w:val="es-CO"/>
              </w:rPr>
              <w:t>Acos</w:t>
            </w:r>
            <w:proofErr w:type="spellEnd"/>
            <w:r w:rsidRPr="00C14E96"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 w:rsidRPr="00C14E96">
              <w:rPr>
                <w:color w:val="2E74B5" w:themeColor="accent1" w:themeShade="BF"/>
                <w:sz w:val="21"/>
                <w:lang w:val="es-CO"/>
              </w:rPr>
              <w:t>imx</w:t>
            </w:r>
            <w:proofErr w:type="spellEnd"/>
            <w:r w:rsidRPr="00C14E96">
              <w:rPr>
                <w:color w:val="2E74B5" w:themeColor="accent1" w:themeShade="BF"/>
                <w:sz w:val="21"/>
                <w:lang w:val="es-CO"/>
              </w:rPr>
              <w:t xml:space="preserve"> + </w:t>
            </w:r>
            <w:proofErr w:type="spellStart"/>
            <w:r w:rsidRPr="00C14E96">
              <w:rPr>
                <w:color w:val="2E74B5" w:themeColor="accent1" w:themeShade="BF"/>
                <w:sz w:val="21"/>
                <w:lang w:val="es-CO"/>
              </w:rPr>
              <w:t>Bsin</w:t>
            </w:r>
            <w:proofErr w:type="spellEnd"/>
            <w:r w:rsidRPr="00C14E96"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 w:rsidRPr="00C14E96">
              <w:rPr>
                <w:color w:val="2E74B5" w:themeColor="accent1" w:themeShade="BF"/>
                <w:sz w:val="21"/>
                <w:lang w:val="es-CO"/>
              </w:rPr>
              <w:t>imx</w:t>
            </w:r>
            <w:proofErr w:type="spellEnd"/>
            <w:r w:rsidRPr="00C14E96">
              <w:rPr>
                <w:color w:val="2E74B5" w:themeColor="accent1" w:themeShade="BF"/>
                <w:sz w:val="21"/>
                <w:lang w:val="es-CO"/>
              </w:rPr>
              <w:t>)</w:t>
            </w:r>
          </w:p>
          <w:p w14:paraId="023C6DEC" w14:textId="3A3978E1" w:rsidR="00C14E96" w:rsidRPr="00C14E96" w:rsidRDefault="00C14E96" w:rsidP="00C14E96">
            <w:pPr>
              <w:rPr>
                <w:color w:val="2E74B5" w:themeColor="accent1" w:themeShade="BF"/>
                <w:sz w:val="21"/>
              </w:rPr>
            </w:pPr>
            <w:r w:rsidRPr="00C14E96">
              <w:rPr>
                <w:color w:val="2E74B5" w:themeColor="accent1" w:themeShade="BF"/>
                <w:sz w:val="21"/>
              </w:rPr>
              <w:t>use +</w:t>
            </w:r>
            <w:proofErr w:type="spellStart"/>
            <w:r w:rsidRPr="00C14E96">
              <w:rPr>
                <w:color w:val="2E74B5" w:themeColor="accent1" w:themeShade="BF"/>
                <w:sz w:val="21"/>
              </w:rPr>
              <w:t>im</w:t>
            </w:r>
            <w:proofErr w:type="spellEnd"/>
            <w:r w:rsidRPr="00C14E96">
              <w:rPr>
                <w:color w:val="2E74B5" w:themeColor="accent1" w:themeShade="BF"/>
                <w:sz w:val="21"/>
              </w:rPr>
              <w:t>, but I think –</w:t>
            </w:r>
            <w:proofErr w:type="spellStart"/>
            <w:r w:rsidRPr="00C14E96">
              <w:rPr>
                <w:color w:val="2E74B5" w:themeColor="accent1" w:themeShade="BF"/>
                <w:sz w:val="21"/>
              </w:rPr>
              <w:t>im</w:t>
            </w:r>
            <w:proofErr w:type="spellEnd"/>
            <w:r w:rsidRPr="00C14E96">
              <w:rPr>
                <w:color w:val="2E74B5" w:themeColor="accent1" w:themeShade="BF"/>
                <w:sz w:val="21"/>
              </w:rPr>
              <w:t xml:space="preserve"> works</w:t>
            </w:r>
          </w:p>
          <w:p w14:paraId="1E224BCF" w14:textId="0F67D565" w:rsidR="00F344DF" w:rsidRPr="00BA3D76" w:rsidRDefault="00F344DF" w:rsidP="00A97A4A">
            <w:pPr>
              <w:rPr>
                <w:color w:val="2E74B5" w:themeColor="accent1" w:themeShade="BF"/>
                <w:sz w:val="21"/>
              </w:rPr>
            </w:pPr>
            <w:r w:rsidRPr="00BA3D76">
              <w:rPr>
                <w:color w:val="2E74B5" w:themeColor="accent1" w:themeShade="BF"/>
                <w:sz w:val="21"/>
              </w:rPr>
              <w:t>Ex 24.9</w:t>
            </w:r>
          </w:p>
          <w:p w14:paraId="49DF241B" w14:textId="77777777" w:rsidR="00C14E96" w:rsidRPr="00BA3D76" w:rsidRDefault="00C14E96" w:rsidP="00A97A4A">
            <w:pPr>
              <w:rPr>
                <w:color w:val="2E74B5" w:themeColor="accent1" w:themeShade="BF"/>
                <w:sz w:val="21"/>
              </w:rPr>
            </w:pPr>
          </w:p>
          <w:p w14:paraId="10790DE2" w14:textId="21D4F64C" w:rsidR="00C14E96" w:rsidRPr="00E154EC" w:rsidRDefault="00E154EC" w:rsidP="00A97A4A">
            <w:pPr>
              <w:rPr>
                <w:color w:val="2E74B5" w:themeColor="accent1" w:themeShade="BF"/>
                <w:sz w:val="21"/>
              </w:rPr>
            </w:pPr>
            <w:r w:rsidRPr="00E154EC">
              <w:rPr>
                <w:color w:val="2E74B5" w:themeColor="accent1" w:themeShade="BF"/>
                <w:sz w:val="21"/>
              </w:rPr>
              <w:lastRenderedPageBreak/>
              <w:t>Particular solution: two para</w:t>
            </w:r>
            <w:r>
              <w:rPr>
                <w:color w:val="2E74B5" w:themeColor="accent1" w:themeShade="BF"/>
                <w:sz w:val="21"/>
              </w:rPr>
              <w:t>meters, use boundary conditions, two points or one point and one derivative value</w:t>
            </w:r>
          </w:p>
          <w:p w14:paraId="1D7248DA" w14:textId="346F030E" w:rsidR="00F344DF" w:rsidRPr="00E154EC" w:rsidRDefault="00F344DF" w:rsidP="00A97A4A">
            <w:pPr>
              <w:rPr>
                <w:color w:val="2E74B5" w:themeColor="accent1" w:themeShade="BF"/>
                <w:sz w:val="21"/>
              </w:rPr>
            </w:pPr>
            <w:r w:rsidRPr="00E154EC">
              <w:rPr>
                <w:color w:val="2E74B5" w:themeColor="accent1" w:themeShade="BF"/>
                <w:sz w:val="21"/>
              </w:rPr>
              <w:t>Ex 24.10</w:t>
            </w:r>
            <w:r w:rsidR="00E154EC" w:rsidRPr="00E154EC">
              <w:rPr>
                <w:color w:val="2E74B5" w:themeColor="accent1" w:themeShade="BF"/>
                <w:sz w:val="21"/>
              </w:rPr>
              <w:t>: to use derivative value, find derivative</w:t>
            </w:r>
          </w:p>
          <w:p w14:paraId="291C49BC" w14:textId="7CB7C9EB" w:rsidR="00F344DF" w:rsidRPr="008E72EE" w:rsidRDefault="00F344DF" w:rsidP="00A97A4A">
            <w:pPr>
              <w:rPr>
                <w:color w:val="2E74B5" w:themeColor="accent1" w:themeShade="BF"/>
                <w:sz w:val="21"/>
              </w:rPr>
            </w:pPr>
            <w:r w:rsidRPr="008E72EE">
              <w:rPr>
                <w:color w:val="2E74B5" w:themeColor="accent1" w:themeShade="BF"/>
                <w:sz w:val="21"/>
              </w:rPr>
              <w:t>Ex 24.11</w:t>
            </w:r>
          </w:p>
          <w:p w14:paraId="4248800F" w14:textId="15E32371" w:rsidR="00896983" w:rsidRPr="008E72EE" w:rsidRDefault="00E579E8" w:rsidP="00E154EC">
            <w:pPr>
              <w:rPr>
                <w:color w:val="2E74B5" w:themeColor="accent1" w:themeShade="BF"/>
                <w:sz w:val="21"/>
              </w:rPr>
            </w:pPr>
            <w:r w:rsidRPr="008E72EE">
              <w:rPr>
                <w:color w:val="2E74B5" w:themeColor="accent1" w:themeShade="BF"/>
                <w:sz w:val="21"/>
              </w:rPr>
              <w:t>24B 1, 2, 3, 4, 5, 6, 7</w:t>
            </w:r>
            <w:r w:rsidR="008E72EE" w:rsidRPr="008E72EE">
              <w:rPr>
                <w:color w:val="2E74B5" w:themeColor="accent1" w:themeShade="BF"/>
                <w:sz w:val="21"/>
              </w:rPr>
              <w:t xml:space="preserve"> </w:t>
            </w:r>
            <w:r w:rsidR="008E72EE">
              <w:rPr>
                <w:color w:val="2E74B5" w:themeColor="accent1" w:themeShade="BF"/>
                <w:sz w:val="21"/>
              </w:rPr>
              <w:t>(</w:t>
            </w:r>
            <w:r w:rsidR="00104182">
              <w:rPr>
                <w:color w:val="2E74B5" w:themeColor="accent1" w:themeShade="BF"/>
                <w:sz w:val="21"/>
                <w:highlight w:val="yellow"/>
              </w:rPr>
              <w:t xml:space="preserve">compound angle ID , </w:t>
            </w:r>
            <w:r w:rsidR="008E72EE" w:rsidRPr="008E72EE">
              <w:rPr>
                <w:color w:val="2E74B5" w:themeColor="accent1" w:themeShade="BF"/>
                <w:sz w:val="21"/>
                <w:highlight w:val="yellow"/>
              </w:rPr>
              <w:t>R</w:t>
            </w:r>
            <w:r w:rsidR="00104182">
              <w:rPr>
                <w:color w:val="2E74B5" w:themeColor="accent1" w:themeShade="BF"/>
                <w:sz w:val="21"/>
                <w:highlight w:val="yellow"/>
              </w:rPr>
              <w:t xml:space="preserve">= </w:t>
            </w:r>
            <w:proofErr w:type="spellStart"/>
            <w:r w:rsidR="00104182">
              <w:rPr>
                <w:color w:val="2E74B5" w:themeColor="accent1" w:themeShade="BF"/>
                <w:sz w:val="21"/>
                <w:highlight w:val="yellow"/>
              </w:rPr>
              <w:t>rt</w:t>
            </w:r>
            <w:proofErr w:type="spellEnd"/>
            <w:r w:rsidR="00104182">
              <w:rPr>
                <w:color w:val="2E74B5" w:themeColor="accent1" w:themeShade="BF"/>
                <w:sz w:val="21"/>
                <w:highlight w:val="yellow"/>
              </w:rPr>
              <w:t>(a</w:t>
            </w:r>
            <w:r w:rsidR="00104182" w:rsidRPr="00104182">
              <w:rPr>
                <w:color w:val="2E74B5" w:themeColor="accent1" w:themeShade="BF"/>
                <w:sz w:val="21"/>
                <w:highlight w:val="yellow"/>
                <w:vertAlign w:val="superscript"/>
              </w:rPr>
              <w:t>2</w:t>
            </w:r>
            <w:r w:rsidR="00104182">
              <w:rPr>
                <w:color w:val="2E74B5" w:themeColor="accent1" w:themeShade="BF"/>
                <w:sz w:val="21"/>
                <w:highlight w:val="yellow"/>
              </w:rPr>
              <w:t xml:space="preserve"> + b</w:t>
            </w:r>
            <w:r w:rsidR="00104182" w:rsidRPr="00104182">
              <w:rPr>
                <w:color w:val="2E74B5" w:themeColor="accent1" w:themeShade="BF"/>
                <w:sz w:val="21"/>
                <w:highlight w:val="yellow"/>
                <w:vertAlign w:val="superscript"/>
              </w:rPr>
              <w:t>2</w:t>
            </w:r>
            <w:r w:rsidR="00104182">
              <w:rPr>
                <w:color w:val="2E74B5" w:themeColor="accent1" w:themeShade="BF"/>
                <w:sz w:val="21"/>
                <w:highlight w:val="yellow"/>
              </w:rPr>
              <w:t>)</w:t>
            </w:r>
            <w:r w:rsidR="008E72EE" w:rsidRPr="008E72EE">
              <w:rPr>
                <w:color w:val="2E74B5" w:themeColor="accent1" w:themeShade="BF"/>
                <w:sz w:val="21"/>
                <w:highlight w:val="yellow"/>
              </w:rPr>
              <w:t>,</w:t>
            </w:r>
            <w:r w:rsidR="00104182">
              <w:rPr>
                <w:color w:val="2E74B5" w:themeColor="accent1" w:themeShade="BF"/>
                <w:sz w:val="21"/>
                <w:highlight w:val="yellow"/>
              </w:rPr>
              <w:t xml:space="preserve"> match terms, solve for a and b,</w:t>
            </w:r>
            <w:r w:rsidR="008E72EE" w:rsidRPr="008E72EE">
              <w:rPr>
                <w:color w:val="2E74B5" w:themeColor="accent1" w:themeShade="BF"/>
                <w:sz w:val="21"/>
                <w:highlight w:val="yellow"/>
              </w:rPr>
              <w:t xml:space="preserve"> 9709</w:t>
            </w:r>
            <w:r w:rsidR="008E72EE">
              <w:rPr>
                <w:color w:val="2E74B5" w:themeColor="accent1" w:themeShade="BF"/>
                <w:sz w:val="21"/>
              </w:rPr>
              <w:t>)</w:t>
            </w:r>
            <w:r w:rsidRPr="008E72EE">
              <w:rPr>
                <w:color w:val="2E74B5" w:themeColor="accent1" w:themeShade="BF"/>
                <w:sz w:val="21"/>
              </w:rPr>
              <w:t>, 8</w:t>
            </w:r>
          </w:p>
        </w:tc>
        <w:tc>
          <w:tcPr>
            <w:tcW w:w="3240" w:type="dxa"/>
            <w:gridSpan w:val="2"/>
          </w:tcPr>
          <w:p w14:paraId="726590D2" w14:textId="7FCBAD73" w:rsidR="00664C9F" w:rsidRPr="008E72EE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3D71AC2B" w14:textId="15F4FC68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:rsidRPr="00492C23" w14:paraId="6D73044A" w14:textId="77777777" w:rsidTr="002421DB">
        <w:tc>
          <w:tcPr>
            <w:tcW w:w="805" w:type="dxa"/>
          </w:tcPr>
          <w:p w14:paraId="257A934F" w14:textId="32EA03CF" w:rsidR="00664C9F" w:rsidRPr="00671081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6B2FB11D" w:rsidR="00664C9F" w:rsidRPr="007A2EE3" w:rsidRDefault="00664C9F" w:rsidP="00664C9F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775DF93E" w:rsidR="00664C9F" w:rsidRPr="00912C9A" w:rsidRDefault="00664C9F" w:rsidP="00664C9F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3C0E8513" w14:textId="5FFFE76C" w:rsidR="00664C9F" w:rsidRPr="00213BC9" w:rsidRDefault="00664C9F" w:rsidP="00664C9F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1413ECF7" w14:textId="1938F16A" w:rsidR="00664C9F" w:rsidRPr="00213BC9" w:rsidRDefault="00664C9F" w:rsidP="00664C9F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B768902" w14:textId="4A70A751" w:rsidR="00664C9F" w:rsidRPr="00E4361B" w:rsidRDefault="00664C9F" w:rsidP="00664C9F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664C9F" w14:paraId="71816EC0" w14:textId="77777777" w:rsidTr="00D514A9">
        <w:tc>
          <w:tcPr>
            <w:tcW w:w="14390" w:type="dxa"/>
            <w:gridSpan w:val="10"/>
          </w:tcPr>
          <w:p w14:paraId="31C07641" w14:textId="2D85F299" w:rsidR="00664C9F" w:rsidRPr="007A2EE3" w:rsidRDefault="00664C9F" w:rsidP="00664C9F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664C9F" w:rsidRPr="007A2EE3" w:rsidRDefault="00664C9F" w:rsidP="00664C9F">
            <w:pPr>
              <w:rPr>
                <w:sz w:val="20"/>
              </w:rPr>
            </w:pPr>
          </w:p>
          <w:p w14:paraId="7ECF4B1C" w14:textId="77777777" w:rsidR="00664C9F" w:rsidRPr="007A2EE3" w:rsidRDefault="00664C9F" w:rsidP="00664C9F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F26BD"/>
    <w:multiLevelType w:val="hybridMultilevel"/>
    <w:tmpl w:val="84B462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67C9"/>
    <w:multiLevelType w:val="hybridMultilevel"/>
    <w:tmpl w:val="55C289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1BC5"/>
    <w:multiLevelType w:val="hybridMultilevel"/>
    <w:tmpl w:val="E8721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20CC2"/>
    <w:rsid w:val="00043ED7"/>
    <w:rsid w:val="0005031C"/>
    <w:rsid w:val="00050743"/>
    <w:rsid w:val="0005647C"/>
    <w:rsid w:val="000841FA"/>
    <w:rsid w:val="000A3929"/>
    <w:rsid w:val="000B483D"/>
    <w:rsid w:val="000B7956"/>
    <w:rsid w:val="000C52E7"/>
    <w:rsid w:val="00103676"/>
    <w:rsid w:val="00104182"/>
    <w:rsid w:val="001063A5"/>
    <w:rsid w:val="001505DF"/>
    <w:rsid w:val="0019589A"/>
    <w:rsid w:val="001B042B"/>
    <w:rsid w:val="001B7A3A"/>
    <w:rsid w:val="001F1B37"/>
    <w:rsid w:val="001F2874"/>
    <w:rsid w:val="00204B6D"/>
    <w:rsid w:val="002066A2"/>
    <w:rsid w:val="00213BC9"/>
    <w:rsid w:val="00217CF3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210EC"/>
    <w:rsid w:val="003232CB"/>
    <w:rsid w:val="0034644E"/>
    <w:rsid w:val="00353E99"/>
    <w:rsid w:val="003608D7"/>
    <w:rsid w:val="00366F69"/>
    <w:rsid w:val="00367E83"/>
    <w:rsid w:val="00382BA9"/>
    <w:rsid w:val="003A037B"/>
    <w:rsid w:val="003B6AEB"/>
    <w:rsid w:val="003D0B0E"/>
    <w:rsid w:val="003D3B24"/>
    <w:rsid w:val="003D5997"/>
    <w:rsid w:val="003E2814"/>
    <w:rsid w:val="003F30CC"/>
    <w:rsid w:val="00405986"/>
    <w:rsid w:val="00463A21"/>
    <w:rsid w:val="00471FC1"/>
    <w:rsid w:val="00473172"/>
    <w:rsid w:val="00477C6A"/>
    <w:rsid w:val="00480920"/>
    <w:rsid w:val="00482E76"/>
    <w:rsid w:val="00492C23"/>
    <w:rsid w:val="004A1D33"/>
    <w:rsid w:val="004A3458"/>
    <w:rsid w:val="004A740C"/>
    <w:rsid w:val="004E0681"/>
    <w:rsid w:val="004E27A0"/>
    <w:rsid w:val="004F08D5"/>
    <w:rsid w:val="00515F65"/>
    <w:rsid w:val="005172FD"/>
    <w:rsid w:val="00562F1C"/>
    <w:rsid w:val="00563215"/>
    <w:rsid w:val="005767E4"/>
    <w:rsid w:val="0058228F"/>
    <w:rsid w:val="00586F34"/>
    <w:rsid w:val="005973FB"/>
    <w:rsid w:val="005A6CE6"/>
    <w:rsid w:val="005B55E6"/>
    <w:rsid w:val="005B6E92"/>
    <w:rsid w:val="005D42DD"/>
    <w:rsid w:val="005F58E0"/>
    <w:rsid w:val="00634CE6"/>
    <w:rsid w:val="00643EB7"/>
    <w:rsid w:val="00664C9F"/>
    <w:rsid w:val="00671081"/>
    <w:rsid w:val="00685E44"/>
    <w:rsid w:val="006D5AFB"/>
    <w:rsid w:val="006E3CF8"/>
    <w:rsid w:val="006F66F0"/>
    <w:rsid w:val="0074448C"/>
    <w:rsid w:val="00745DE7"/>
    <w:rsid w:val="00751A39"/>
    <w:rsid w:val="00764655"/>
    <w:rsid w:val="00764AC2"/>
    <w:rsid w:val="00766B9D"/>
    <w:rsid w:val="0078426F"/>
    <w:rsid w:val="0079473B"/>
    <w:rsid w:val="007A2EE3"/>
    <w:rsid w:val="007B65E3"/>
    <w:rsid w:val="007C01E1"/>
    <w:rsid w:val="007C086F"/>
    <w:rsid w:val="007D5F2E"/>
    <w:rsid w:val="00804EEA"/>
    <w:rsid w:val="00813624"/>
    <w:rsid w:val="0084468A"/>
    <w:rsid w:val="00851A4C"/>
    <w:rsid w:val="008801CD"/>
    <w:rsid w:val="008901C8"/>
    <w:rsid w:val="00896983"/>
    <w:rsid w:val="00896F43"/>
    <w:rsid w:val="008E1718"/>
    <w:rsid w:val="008E72EE"/>
    <w:rsid w:val="008F6398"/>
    <w:rsid w:val="00911DDA"/>
    <w:rsid w:val="00912C9A"/>
    <w:rsid w:val="00915C62"/>
    <w:rsid w:val="0092717D"/>
    <w:rsid w:val="00933173"/>
    <w:rsid w:val="00963EF7"/>
    <w:rsid w:val="00964AE4"/>
    <w:rsid w:val="009669B6"/>
    <w:rsid w:val="00995FB4"/>
    <w:rsid w:val="009B34AF"/>
    <w:rsid w:val="009B5B70"/>
    <w:rsid w:val="009E1775"/>
    <w:rsid w:val="009F12F3"/>
    <w:rsid w:val="009F5FF2"/>
    <w:rsid w:val="009F6EE6"/>
    <w:rsid w:val="00A132EA"/>
    <w:rsid w:val="00A24836"/>
    <w:rsid w:val="00A3251B"/>
    <w:rsid w:val="00A52F1A"/>
    <w:rsid w:val="00A60CA0"/>
    <w:rsid w:val="00A70013"/>
    <w:rsid w:val="00A97A4A"/>
    <w:rsid w:val="00AA44DE"/>
    <w:rsid w:val="00AE15FA"/>
    <w:rsid w:val="00B268B7"/>
    <w:rsid w:val="00B27E2D"/>
    <w:rsid w:val="00B54A1D"/>
    <w:rsid w:val="00B74186"/>
    <w:rsid w:val="00B85215"/>
    <w:rsid w:val="00B903F6"/>
    <w:rsid w:val="00B94087"/>
    <w:rsid w:val="00BA3D76"/>
    <w:rsid w:val="00BA4594"/>
    <w:rsid w:val="00BB2153"/>
    <w:rsid w:val="00BC0B83"/>
    <w:rsid w:val="00BF137A"/>
    <w:rsid w:val="00BF54AD"/>
    <w:rsid w:val="00C14E96"/>
    <w:rsid w:val="00C17FC9"/>
    <w:rsid w:val="00C309C1"/>
    <w:rsid w:val="00C34AD5"/>
    <w:rsid w:val="00C373F8"/>
    <w:rsid w:val="00C806BB"/>
    <w:rsid w:val="00C96E36"/>
    <w:rsid w:val="00CA4D0C"/>
    <w:rsid w:val="00CB0199"/>
    <w:rsid w:val="00CB4B0A"/>
    <w:rsid w:val="00CF1F0B"/>
    <w:rsid w:val="00CF4F4D"/>
    <w:rsid w:val="00D02EFF"/>
    <w:rsid w:val="00D514A9"/>
    <w:rsid w:val="00D6482C"/>
    <w:rsid w:val="00D67C16"/>
    <w:rsid w:val="00D83683"/>
    <w:rsid w:val="00DA459B"/>
    <w:rsid w:val="00DC5F3E"/>
    <w:rsid w:val="00DD0901"/>
    <w:rsid w:val="00DD5FED"/>
    <w:rsid w:val="00DF0DFF"/>
    <w:rsid w:val="00E05D51"/>
    <w:rsid w:val="00E0677D"/>
    <w:rsid w:val="00E13357"/>
    <w:rsid w:val="00E154EC"/>
    <w:rsid w:val="00E40A47"/>
    <w:rsid w:val="00E4361B"/>
    <w:rsid w:val="00E540A3"/>
    <w:rsid w:val="00E579E8"/>
    <w:rsid w:val="00E831A6"/>
    <w:rsid w:val="00E9107E"/>
    <w:rsid w:val="00E91414"/>
    <w:rsid w:val="00E93597"/>
    <w:rsid w:val="00EA559C"/>
    <w:rsid w:val="00EB00BD"/>
    <w:rsid w:val="00EE1839"/>
    <w:rsid w:val="00EE1E7B"/>
    <w:rsid w:val="00EE572D"/>
    <w:rsid w:val="00EF2AC1"/>
    <w:rsid w:val="00EF7ED3"/>
    <w:rsid w:val="00F0424D"/>
    <w:rsid w:val="00F26BF2"/>
    <w:rsid w:val="00F31DC3"/>
    <w:rsid w:val="00F3424C"/>
    <w:rsid w:val="00F344DF"/>
    <w:rsid w:val="00F63FF2"/>
    <w:rsid w:val="00F67BE4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28</cp:revision>
  <cp:lastPrinted>2019-07-05T07:41:00Z</cp:lastPrinted>
  <dcterms:created xsi:type="dcterms:W3CDTF">2021-05-03T07:15:00Z</dcterms:created>
  <dcterms:modified xsi:type="dcterms:W3CDTF">2021-08-20T14:52:00Z</dcterms:modified>
</cp:coreProperties>
</file>