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164034DA" w:rsidR="00BC0B83" w:rsidRPr="002A523E" w:rsidRDefault="005851B0">
      <w:pPr>
        <w:rPr>
          <w:b/>
          <w:sz w:val="28"/>
        </w:rPr>
      </w:pPr>
      <w:r>
        <w:rPr>
          <w:b/>
          <w:sz w:val="28"/>
        </w:rPr>
        <w:t xml:space="preserve">9709 </w:t>
      </w:r>
      <w:bookmarkStart w:id="0" w:name="_GoBack"/>
      <w:bookmarkEnd w:id="0"/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3E3FF58D" w:rsidR="006D5AFB" w:rsidRPr="006D5AFB" w:rsidRDefault="009F12F3" w:rsidP="00182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18266D">
              <w:rPr>
                <w:sz w:val="24"/>
                <w:szCs w:val="24"/>
              </w:rPr>
              <w:t xml:space="preserve">A Level </w:t>
            </w:r>
            <w:r w:rsidR="00275D59">
              <w:rPr>
                <w:sz w:val="24"/>
                <w:szCs w:val="24"/>
              </w:rPr>
              <w:t xml:space="preserve">Mathematics </w:t>
            </w:r>
            <w:r w:rsidR="0018266D">
              <w:rPr>
                <w:sz w:val="24"/>
                <w:szCs w:val="24"/>
              </w:rPr>
              <w:t>9709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4749CA44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07CB99A3" w:rsidR="006D5AFB" w:rsidRPr="006D5AFB" w:rsidRDefault="00582205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0A477F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59A35F0B" w:rsidR="000A477F" w:rsidRPr="00671081" w:rsidRDefault="000A477F" w:rsidP="000A477F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39AAF269" w14:textId="64603378" w:rsidR="000A477F" w:rsidRPr="00EE572D" w:rsidRDefault="000A477F" w:rsidP="000A477F">
            <w:pPr>
              <w:rPr>
                <w:color w:val="2E74B5" w:themeColor="accent1" w:themeShade="BF"/>
              </w:rPr>
            </w:pPr>
          </w:p>
        </w:tc>
        <w:tc>
          <w:tcPr>
            <w:tcW w:w="2880" w:type="dxa"/>
          </w:tcPr>
          <w:p w14:paraId="6E228A79" w14:textId="02C89747" w:rsidR="000A477F" w:rsidRPr="009F6EE6" w:rsidRDefault="000A477F" w:rsidP="000A477F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E27261D" w14:textId="003EC2EC" w:rsidR="000A477F" w:rsidRPr="00213BC9" w:rsidRDefault="000A477F" w:rsidP="000A477F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7EEDFE93" w14:textId="5BCA7030" w:rsidR="000A477F" w:rsidRPr="006A2BFE" w:rsidRDefault="000A477F" w:rsidP="000A477F">
            <w:pPr>
              <w:rPr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1795" w:type="dxa"/>
            <w:gridSpan w:val="3"/>
          </w:tcPr>
          <w:p w14:paraId="0B4C37A7" w14:textId="77DC5C36" w:rsidR="000A477F" w:rsidRPr="00671081" w:rsidRDefault="000A477F" w:rsidP="000A477F">
            <w:pPr>
              <w:rPr>
                <w:color w:val="2E74B5" w:themeColor="accent1" w:themeShade="BF"/>
              </w:rPr>
            </w:pPr>
          </w:p>
        </w:tc>
      </w:tr>
      <w:tr w:rsidR="000A477F" w:rsidRPr="00671081" w14:paraId="338605A9" w14:textId="77777777" w:rsidTr="002421DB">
        <w:tc>
          <w:tcPr>
            <w:tcW w:w="805" w:type="dxa"/>
          </w:tcPr>
          <w:p w14:paraId="6802A24C" w14:textId="77777777" w:rsidR="000A477F" w:rsidRDefault="000A477F" w:rsidP="000A477F">
            <w:pPr>
              <w:rPr>
                <w:color w:val="2E74B5" w:themeColor="accent1" w:themeShade="BF"/>
              </w:rPr>
            </w:pPr>
          </w:p>
          <w:p w14:paraId="7C41DFFF" w14:textId="49CA1133" w:rsidR="00355B3C" w:rsidRPr="00671081" w:rsidRDefault="00355B3C" w:rsidP="000A477F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69C51BD8" w:rsidR="000A477F" w:rsidRPr="007A2EE3" w:rsidRDefault="000A477F" w:rsidP="000A477F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57AED8EF" w:rsidR="000A477F" w:rsidRPr="00B158DF" w:rsidRDefault="000A477F" w:rsidP="000A477F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4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4CE824F0" w14:textId="554BCAC5" w:rsidR="000A477F" w:rsidRPr="00213BC9" w:rsidRDefault="000A477F" w:rsidP="000A477F">
            <w:pPr>
              <w:tabs>
                <w:tab w:val="center" w:pos="1782"/>
              </w:tabs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768B33B6" w:rsidR="000A477F" w:rsidRPr="00AF290D" w:rsidRDefault="000A477F" w:rsidP="000A477F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1795" w:type="dxa"/>
            <w:gridSpan w:val="3"/>
          </w:tcPr>
          <w:p w14:paraId="5E31B1FC" w14:textId="6B820874" w:rsidR="000A477F" w:rsidRPr="00671081" w:rsidRDefault="000A477F" w:rsidP="000A477F">
            <w:pPr>
              <w:rPr>
                <w:color w:val="2E74B5" w:themeColor="accent1" w:themeShade="BF"/>
              </w:rPr>
            </w:pPr>
          </w:p>
        </w:tc>
      </w:tr>
      <w:tr w:rsidR="000A477F" w:rsidRPr="00671081" w14:paraId="4CE6CC68" w14:textId="77777777" w:rsidTr="002421DB">
        <w:tc>
          <w:tcPr>
            <w:tcW w:w="805" w:type="dxa"/>
          </w:tcPr>
          <w:p w14:paraId="44B80805" w14:textId="21919675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Th9</w:t>
            </w:r>
          </w:p>
        </w:tc>
        <w:tc>
          <w:tcPr>
            <w:tcW w:w="1890" w:type="dxa"/>
          </w:tcPr>
          <w:p w14:paraId="09138DA9" w14:textId="77777777" w:rsidR="000A477F" w:rsidRDefault="000A477F" w:rsidP="000A477F">
            <w:pPr>
              <w:rPr>
                <w:color w:val="2E74B5" w:themeColor="accent1" w:themeShade="BF"/>
              </w:rPr>
            </w:pPr>
            <w:r w:rsidRPr="00DA5479">
              <w:rPr>
                <w:color w:val="2E74B5" w:themeColor="accent1" w:themeShade="BF"/>
              </w:rPr>
              <w:t>Ch. 2 Measures of central tendency</w:t>
            </w:r>
          </w:p>
          <w:p w14:paraId="63187A9C" w14:textId="5D0ABA11" w:rsidR="000A477F" w:rsidRPr="00CE066A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2.2 The mean (coded data, p. 37)</w:t>
            </w:r>
          </w:p>
        </w:tc>
        <w:tc>
          <w:tcPr>
            <w:tcW w:w="2880" w:type="dxa"/>
          </w:tcPr>
          <w:p w14:paraId="3D24A7DC" w14:textId="74C46E20" w:rsidR="000A477F" w:rsidRPr="001E1781" w:rsidRDefault="000A477F" w:rsidP="000A477F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4"/>
                <w:szCs w:val="4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 xml:space="preserve">Topic 5.1 Representation of data: Calculate and use the mean of a set of data (including grouped data) either from the data itself or from given totals </w:t>
            </w:r>
            <w:r>
              <w:rPr>
                <w:rFonts w:ascii="Calibri" w:hAnsi="Calibri" w:cs="Calibri"/>
              </w:rPr>
              <w:t>Ʃ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x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and </w:t>
            </w:r>
            <w:r>
              <w:rPr>
                <w:rFonts w:ascii="Calibri" w:hAnsi="Calibri" w:cs="Calibri"/>
              </w:rPr>
              <w:t>Ʃ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 w:rsidRPr="008D1385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2</w:t>
            </w:r>
            <w:r>
              <w:rPr>
                <w:rFonts w:ascii="TimesNewRomanPSMT" w:hAnsi="TimesNewRomanPSMT" w:cs="TimesNewRomanPSMT"/>
                <w:sz w:val="15"/>
                <w:szCs w:val="15"/>
              </w:rPr>
              <w:t xml:space="preserve">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, or coded totals </w:t>
            </w:r>
            <w:r>
              <w:rPr>
                <w:rFonts w:ascii="BlissPro-Light" w:hAnsi="BlissPro-Light" w:cs="BlissPro-Light"/>
                <w:sz w:val="21"/>
                <w:szCs w:val="21"/>
              </w:rPr>
              <w:br/>
            </w:r>
            <w:r>
              <w:rPr>
                <w:rFonts w:ascii="Calibri" w:hAnsi="Calibri" w:cs="Calibri"/>
              </w:rPr>
              <w:t>Ʃ(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SymbolMT" w:eastAsia="SymbolMT" w:hAnsi="BlissPro-Light" w:cs="SymbolMT"/>
              </w:rPr>
              <w:t>–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a</w:t>
            </w:r>
            <w:r>
              <w:rPr>
                <w:rFonts w:ascii="MMVariableA" w:hAnsi="MMVariableA" w:cs="MMVariableA"/>
              </w:rPr>
              <w:t xml:space="preserve">)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and </w:t>
            </w:r>
            <w:r>
              <w:rPr>
                <w:rFonts w:ascii="Calibri" w:hAnsi="Calibri" w:cs="Calibri"/>
              </w:rPr>
              <w:t>Ʃ(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SymbolMT" w:eastAsia="SymbolMT" w:hAnsi="BlissPro-Light" w:cs="SymbolMT"/>
              </w:rPr>
              <w:t>–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a</w:t>
            </w:r>
            <w:r>
              <w:rPr>
                <w:rFonts w:ascii="MMVariableA" w:hAnsi="MMVariableA" w:cs="MMVariableA"/>
              </w:rPr>
              <w:t>)</w:t>
            </w:r>
            <w:r w:rsidRPr="008D1385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2</w:t>
            </w:r>
            <w:r>
              <w:rPr>
                <w:rFonts w:ascii="TimesNewRomanPSMT" w:hAnsi="TimesNewRomanPSMT" w:cs="TimesNewRomanPSMT"/>
                <w:sz w:val="15"/>
                <w:szCs w:val="15"/>
              </w:rPr>
              <w:t xml:space="preserve">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>, and use such totals in solving problems which may involve up to two data sets</w:t>
            </w:r>
          </w:p>
        </w:tc>
        <w:tc>
          <w:tcPr>
            <w:tcW w:w="3780" w:type="dxa"/>
            <w:gridSpan w:val="2"/>
          </w:tcPr>
          <w:p w14:paraId="63B1FA0C" w14:textId="59019032" w:rsidR="000A477F" w:rsidRDefault="000A477F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Mean of coded data</w:t>
            </w:r>
          </w:p>
          <w:p w14:paraId="4E0CA7EE" w14:textId="24FAF9F4" w:rsidR="000A477F" w:rsidRPr="00320B9A" w:rsidRDefault="000A477F" w:rsidP="000A477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Ungrouped data;</w:t>
            </w:r>
            <w:r>
              <w:rPr>
                <w:color w:val="2E74B5" w:themeColor="accent1" w:themeShade="BF"/>
                <w:sz w:val="21"/>
              </w:rPr>
              <w:br/>
            </w: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 xml:space="preserve">x </m:t>
                    </m:r>
                  </m:e>
                </m:acc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21"/>
                          </w:rPr>
                          <m:t>(x-b)</m:t>
                        </m:r>
                      </m:e>
                    </m:nary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+b</m:t>
                </m:r>
              </m:oMath>
            </m:oMathPara>
          </w:p>
          <w:p w14:paraId="36F86204" w14:textId="77777777" w:rsidR="000A477F" w:rsidRPr="00DB5BD5" w:rsidRDefault="000A477F" w:rsidP="000A477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Grouped data;</w:t>
            </w:r>
            <w:r>
              <w:rPr>
                <w:color w:val="2E74B5" w:themeColor="accent1" w:themeShade="BF"/>
                <w:sz w:val="21"/>
              </w:rPr>
              <w:br/>
            </w: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 xml:space="preserve">x </m:t>
                    </m:r>
                  </m:e>
                </m:acc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21"/>
                          </w:rPr>
                          <m:t>(x-b)f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21"/>
                          </w:rPr>
                          <m:t>f</m:t>
                        </m:r>
                      </m:e>
                    </m:nary>
                  </m:den>
                </m:f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+b</m:t>
                </m:r>
              </m:oMath>
            </m:oMathPara>
          </w:p>
          <w:p w14:paraId="7654C507" w14:textId="5CCDF468" w:rsidR="000A477F" w:rsidRDefault="000A477F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Ex. 2.9, 2.10</w:t>
            </w:r>
          </w:p>
          <w:p w14:paraId="2A2CAC89" w14:textId="51CE9322" w:rsidR="000A477F" w:rsidRDefault="000A477F" w:rsidP="000A477F">
            <w:pPr>
              <w:rPr>
                <w:color w:val="2E74B5" w:themeColor="accent1" w:themeShade="BF"/>
                <w:sz w:val="21"/>
              </w:rPr>
            </w:pPr>
            <w:r w:rsidRPr="00197B6B">
              <w:rPr>
                <w:color w:val="2E74B5" w:themeColor="accent1" w:themeShade="BF"/>
                <w:sz w:val="21"/>
                <w:highlight w:val="yellow"/>
              </w:rPr>
              <w:t>2C</w:t>
            </w:r>
            <w:r w:rsidR="00197B6B" w:rsidRPr="00197B6B">
              <w:rPr>
                <w:color w:val="2E74B5" w:themeColor="accent1" w:themeShade="BF"/>
                <w:sz w:val="21"/>
                <w:highlight w:val="yellow"/>
              </w:rPr>
              <w:t xml:space="preserve"> 2, 3, 5, 6, 8</w:t>
            </w:r>
          </w:p>
          <w:p w14:paraId="64A4E44A" w14:textId="6B670AF8" w:rsidR="000A477F" w:rsidRDefault="000A477F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Choosing appropriate average</w:t>
            </w:r>
          </w:p>
          <w:p w14:paraId="2F503200" w14:textId="77777777" w:rsidR="000A477F" w:rsidRDefault="000A477F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Mode: extreme values unlikely to affect; good for “most popular” ID; good with qualitative data</w:t>
            </w:r>
          </w:p>
          <w:p w14:paraId="0C838C24" w14:textId="77777777" w:rsidR="000A477F" w:rsidRDefault="000A477F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Mean: includes all values, easily understood, can use to find sum of values</w:t>
            </w:r>
          </w:p>
          <w:p w14:paraId="4248800F" w14:textId="6E8FFBB7" w:rsidR="000A477F" w:rsidRPr="00B15A35" w:rsidRDefault="000A477F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Median: unaffected by extremes; can be found without knowing all values</w:t>
            </w:r>
          </w:p>
        </w:tc>
        <w:tc>
          <w:tcPr>
            <w:tcW w:w="3240" w:type="dxa"/>
            <w:gridSpan w:val="2"/>
          </w:tcPr>
          <w:p w14:paraId="798E70D6" w14:textId="77777777" w:rsidR="000A477F" w:rsidRDefault="000A477F" w:rsidP="000A477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52ADC8E7" w14:textId="77777777" w:rsidR="000A477F" w:rsidRDefault="000A477F" w:rsidP="000A477F">
            <w:pPr>
              <w:rPr>
                <w:iCs/>
                <w:color w:val="2E74B5" w:themeColor="accent1" w:themeShade="BF"/>
                <w:sz w:val="21"/>
              </w:rPr>
            </w:pPr>
          </w:p>
          <w:p w14:paraId="7001388E" w14:textId="77777777" w:rsidR="000A477F" w:rsidRDefault="000A477F" w:rsidP="000A477F">
            <w:pPr>
              <w:rPr>
                <w:iCs/>
                <w:color w:val="2E74B5" w:themeColor="accent1" w:themeShade="BF"/>
                <w:sz w:val="21"/>
              </w:rPr>
            </w:pPr>
          </w:p>
          <w:p w14:paraId="79E39C57" w14:textId="77777777" w:rsidR="000A477F" w:rsidRDefault="000A477F" w:rsidP="000A477F">
            <w:pPr>
              <w:rPr>
                <w:iCs/>
                <w:color w:val="2E74B5" w:themeColor="accent1" w:themeShade="BF"/>
                <w:sz w:val="21"/>
              </w:rPr>
            </w:pPr>
          </w:p>
          <w:p w14:paraId="2BF1A015" w14:textId="77777777" w:rsidR="000A477F" w:rsidRDefault="000A477F" w:rsidP="000A477F">
            <w:pPr>
              <w:rPr>
                <w:iCs/>
                <w:color w:val="2E74B5" w:themeColor="accent1" w:themeShade="BF"/>
                <w:sz w:val="21"/>
              </w:rPr>
            </w:pPr>
          </w:p>
          <w:p w14:paraId="6F96FD73" w14:textId="77777777" w:rsidR="000A477F" w:rsidRDefault="000A477F" w:rsidP="000A477F">
            <w:pPr>
              <w:rPr>
                <w:iCs/>
                <w:color w:val="2E74B5" w:themeColor="accent1" w:themeShade="BF"/>
                <w:sz w:val="21"/>
              </w:rPr>
            </w:pPr>
          </w:p>
          <w:p w14:paraId="0E860AFC" w14:textId="77777777" w:rsidR="000A477F" w:rsidRDefault="000A477F" w:rsidP="000A477F">
            <w:pPr>
              <w:rPr>
                <w:iCs/>
                <w:color w:val="2E74B5" w:themeColor="accent1" w:themeShade="BF"/>
                <w:sz w:val="21"/>
              </w:rPr>
            </w:pPr>
          </w:p>
          <w:p w14:paraId="47600FBB" w14:textId="77777777" w:rsidR="000A477F" w:rsidRDefault="000A477F" w:rsidP="000A477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3CF4CC71" w14:textId="77777777" w:rsidR="000A477F" w:rsidRDefault="000A477F" w:rsidP="000A477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 P</w:t>
            </w:r>
          </w:p>
          <w:p w14:paraId="726590D2" w14:textId="43E9D82A" w:rsidR="000A477F" w:rsidRPr="008D1385" w:rsidRDefault="006A3DB3" w:rsidP="000A477F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</w:tc>
        <w:tc>
          <w:tcPr>
            <w:tcW w:w="1795" w:type="dxa"/>
            <w:gridSpan w:val="3"/>
          </w:tcPr>
          <w:p w14:paraId="3D71AC2B" w14:textId="15F4FC68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A477F" w:rsidRPr="00492C23" w14:paraId="6D73044A" w14:textId="77777777" w:rsidTr="002421DB">
        <w:tc>
          <w:tcPr>
            <w:tcW w:w="805" w:type="dxa"/>
          </w:tcPr>
          <w:p w14:paraId="257A934F" w14:textId="4B485CE3" w:rsidR="000A477F" w:rsidRPr="00671081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Th10</w:t>
            </w:r>
          </w:p>
        </w:tc>
        <w:tc>
          <w:tcPr>
            <w:tcW w:w="1890" w:type="dxa"/>
          </w:tcPr>
          <w:p w14:paraId="6A71FE49" w14:textId="76F7C997" w:rsidR="000A477F" w:rsidRPr="007A2EE3" w:rsidRDefault="000A477F" w:rsidP="000A477F">
            <w:pPr>
              <w:rPr>
                <w:color w:val="2E74B5" w:themeColor="accent1" w:themeShade="BF"/>
                <w:sz w:val="20"/>
              </w:rPr>
            </w:pPr>
            <w:r w:rsidRPr="00DA5479">
              <w:rPr>
                <w:color w:val="2E74B5" w:themeColor="accent1" w:themeShade="BF"/>
              </w:rPr>
              <w:t xml:space="preserve">Ch. </w:t>
            </w:r>
            <w:r>
              <w:rPr>
                <w:color w:val="2E74B5" w:themeColor="accent1" w:themeShade="BF"/>
              </w:rPr>
              <w:t>3 Measures of variation 3.3 Variance and standard deviation (p. 65)</w:t>
            </w:r>
          </w:p>
        </w:tc>
        <w:tc>
          <w:tcPr>
            <w:tcW w:w="2880" w:type="dxa"/>
          </w:tcPr>
          <w:p w14:paraId="32352663" w14:textId="56C61B56" w:rsidR="000A477F" w:rsidRPr="00912C9A" w:rsidRDefault="000A477F" w:rsidP="000A477F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 xml:space="preserve">Topic 5.1 Representation of data: Understand and use different measures of variation (standard deviation); calculate and use the standard deviation of a set of data (including grouped data) either from the data itself or from given totals </w:t>
            </w:r>
            <w:r>
              <w:rPr>
                <w:rFonts w:ascii="Calibri" w:hAnsi="Calibri" w:cs="Calibri"/>
              </w:rPr>
              <w:t>Ʃ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 xml:space="preserve">x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and </w:t>
            </w:r>
            <w:r>
              <w:rPr>
                <w:rFonts w:ascii="Calibri" w:hAnsi="Calibri" w:cs="Calibri"/>
              </w:rPr>
              <w:t>Ʃ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 w:rsidRPr="008D1385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2</w:t>
            </w:r>
            <w:r>
              <w:rPr>
                <w:rFonts w:ascii="TimesNewRomanPSMT" w:hAnsi="TimesNewRomanPSMT" w:cs="TimesNewRomanPSMT"/>
                <w:sz w:val="15"/>
                <w:szCs w:val="15"/>
              </w:rPr>
              <w:t xml:space="preserve">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, or coded totals </w:t>
            </w:r>
            <w:r>
              <w:rPr>
                <w:rFonts w:ascii="BlissPro-Light" w:hAnsi="BlissPro-Light" w:cs="BlissPro-Light"/>
                <w:sz w:val="21"/>
                <w:szCs w:val="21"/>
              </w:rPr>
              <w:br/>
            </w:r>
            <w:r>
              <w:rPr>
                <w:rFonts w:ascii="Calibri" w:hAnsi="Calibri" w:cs="Calibri"/>
              </w:rPr>
              <w:t>Ʃ(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SymbolMT" w:eastAsia="SymbolMT" w:hAnsi="BlissPro-Light" w:cs="SymbolMT"/>
              </w:rPr>
              <w:t>–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a</w:t>
            </w:r>
            <w:r>
              <w:rPr>
                <w:rFonts w:ascii="MMVariableA" w:hAnsi="MMVariableA" w:cs="MMVariableA"/>
              </w:rPr>
              <w:t xml:space="preserve">)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and </w:t>
            </w:r>
            <w:r>
              <w:rPr>
                <w:rFonts w:ascii="Calibri" w:hAnsi="Calibri" w:cs="Calibri"/>
              </w:rPr>
              <w:t>Ʃ(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x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SymbolMT" w:eastAsia="SymbolMT" w:hAnsi="BlissPro-Light" w:cs="SymbolMT"/>
              </w:rPr>
              <w:t>–</w:t>
            </w:r>
            <w:r>
              <w:rPr>
                <w:rFonts w:ascii="TimesNewRomanPS-ItalicMT" w:hAnsi="TimesNewRomanPS-ItalicMT" w:cs="TimesNewRomanPS-ItalicMT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</w:rPr>
              <w:t>a</w:t>
            </w:r>
            <w:r>
              <w:rPr>
                <w:rFonts w:ascii="MMVariableA" w:hAnsi="MMVariableA" w:cs="MMVariableA"/>
              </w:rPr>
              <w:t>)</w:t>
            </w:r>
            <w:r w:rsidRPr="008D1385">
              <w:rPr>
                <w:rFonts w:ascii="TimesNewRomanPSMT" w:hAnsi="TimesNewRomanPSMT" w:cs="TimesNewRomanPSMT"/>
                <w:sz w:val="24"/>
                <w:szCs w:val="24"/>
                <w:vertAlign w:val="superscript"/>
              </w:rPr>
              <w:t>2</w:t>
            </w:r>
            <w:r>
              <w:rPr>
                <w:rFonts w:ascii="TimesNewRomanPSMT" w:hAnsi="TimesNewRomanPSMT" w:cs="TimesNewRomanPSMT"/>
                <w:sz w:val="15"/>
                <w:szCs w:val="15"/>
              </w:rPr>
              <w:t xml:space="preserve"> </w:t>
            </w:r>
            <w:r>
              <w:rPr>
                <w:rFonts w:ascii="BlissPro-Light" w:hAnsi="BlissPro-Light" w:cs="BlissPro-Light"/>
                <w:sz w:val="21"/>
                <w:szCs w:val="21"/>
              </w:rPr>
              <w:t xml:space="preserve">, and use such totals in solving problems </w:t>
            </w:r>
            <w:r>
              <w:rPr>
                <w:rFonts w:ascii="BlissPro-Light" w:hAnsi="BlissPro-Light" w:cs="BlissPro-Light"/>
                <w:sz w:val="21"/>
                <w:szCs w:val="21"/>
              </w:rPr>
              <w:lastRenderedPageBreak/>
              <w:t>which may involve up to two data sets</w:t>
            </w:r>
          </w:p>
        </w:tc>
        <w:tc>
          <w:tcPr>
            <w:tcW w:w="3780" w:type="dxa"/>
            <w:gridSpan w:val="2"/>
          </w:tcPr>
          <w:p w14:paraId="182A9DDC" w14:textId="35F6C6C2" w:rsidR="00257F2B" w:rsidRDefault="00257F2B" w:rsidP="00B723B8">
            <w:pPr>
              <w:rPr>
                <w:rFonts w:ascii="BlissPro-Light" w:eastAsiaTheme="minorEastAsia" w:hAnsi="BlissPro-Light" w:cs="BlissPro-Light"/>
                <w:color w:val="2E74B5" w:themeColor="accent1" w:themeShade="BF"/>
                <w:sz w:val="21"/>
              </w:rPr>
            </w:pPr>
            <w:r>
              <w:rPr>
                <w:rFonts w:ascii="BlissPro-Light" w:eastAsiaTheme="minorEastAsia" w:hAnsi="BlissPro-Light" w:cs="BlissPro-Light"/>
                <w:color w:val="2E74B5" w:themeColor="accent1" w:themeShade="BF"/>
                <w:sz w:val="21"/>
              </w:rPr>
              <w:lastRenderedPageBreak/>
              <w:t>Ungrouped data:</w:t>
            </w:r>
          </w:p>
          <w:p w14:paraId="322E9D65" w14:textId="1F0B325F" w:rsidR="00B723B8" w:rsidRPr="00257F2B" w:rsidRDefault="00B723B8" w:rsidP="00B723B8">
            <w:pPr>
              <w:rPr>
                <w:rFonts w:eastAsiaTheme="minorEastAsia"/>
                <w:color w:val="2E74B5" w:themeColor="accent1" w:themeShade="BF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18"/>
                    <w:szCs w:val="18"/>
                  </w:rPr>
                  <m:t>Variance=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18"/>
                        <w:szCs w:val="1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2E74B5" w:themeColor="accent1" w:themeShade="BF"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p>
                      </m:e>
                    </m:nary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18"/>
                        <w:szCs w:val="18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color w:val="2E74B5" w:themeColor="accent1" w:themeShade="BF"/>
                    <w:sz w:val="18"/>
                    <w:szCs w:val="1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18"/>
                        <w:szCs w:val="18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color w:val="2E74B5" w:themeColor="accent1" w:themeShade="BF"/>
                        <w:sz w:val="18"/>
                        <w:szCs w:val="18"/>
                      </w:rPr>
                      <m:t>2</m:t>
                    </m:r>
                  </m:sup>
                </m:sSup>
              </m:oMath>
            </m:oMathPara>
          </w:p>
          <w:p w14:paraId="49DC99D3" w14:textId="77777777" w:rsidR="001732B0" w:rsidRPr="00DB5BD5" w:rsidRDefault="001732B0" w:rsidP="00B723B8">
            <w:pPr>
              <w:rPr>
                <w:rFonts w:eastAsiaTheme="minorEastAsia"/>
                <w:color w:val="2E74B5" w:themeColor="accent1" w:themeShade="BF"/>
                <w:sz w:val="21"/>
              </w:rPr>
            </w:pPr>
          </w:p>
          <w:p w14:paraId="492923C6" w14:textId="5907E5E4" w:rsidR="00B723B8" w:rsidRPr="00257F2B" w:rsidRDefault="00B723B8" w:rsidP="00B723B8">
            <w:pPr>
              <w:rPr>
                <w:color w:val="2E74B5" w:themeColor="accent1" w:themeShade="BF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18"/>
                    <w:szCs w:val="18"/>
                  </w:rPr>
                  <m:t xml:space="preserve">SD=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18"/>
                        <w:szCs w:val="1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color w:val="2E74B5" w:themeColor="accent1" w:themeShade="BF"/>
                                <w:sz w:val="18"/>
                                <w:szCs w:val="18"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74B5" w:themeColor="accent1" w:themeShade="BF"/>
                                    <w:sz w:val="18"/>
                                    <w:szCs w:val="1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2E74B5" w:themeColor="accent1" w:themeShade="BF"/>
                                    <w:sz w:val="18"/>
                                    <w:szCs w:val="1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2E74B5" w:themeColor="accent1" w:themeShade="BF"/>
                                    <w:sz w:val="18"/>
                                    <w:szCs w:val="18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num>
                      <m:den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hAnsi="Cambria Math"/>
                        <w:color w:val="2E74B5" w:themeColor="accent1" w:themeShade="BF"/>
                        <w:sz w:val="18"/>
                        <w:szCs w:val="1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s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color w:val="2E74B5" w:themeColor="accent1" w:themeShade="BF"/>
                                <w:sz w:val="18"/>
                                <w:szCs w:val="1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2E74B5" w:themeColor="accent1" w:themeShade="BF"/>
                        <w:sz w:val="18"/>
                        <w:szCs w:val="18"/>
                      </w:rPr>
                      <m:t xml:space="preserve"> </m:t>
                    </m:r>
                  </m:e>
                </m:rad>
              </m:oMath>
            </m:oMathPara>
          </w:p>
          <w:p w14:paraId="08AB2445" w14:textId="77777777" w:rsidR="00E4684C" w:rsidRDefault="00E4684C" w:rsidP="000A477F">
            <w:pPr>
              <w:rPr>
                <w:color w:val="2E74B5" w:themeColor="accent1" w:themeShade="BF"/>
                <w:sz w:val="21"/>
              </w:rPr>
            </w:pPr>
          </w:p>
          <w:p w14:paraId="71309E5F" w14:textId="2337364B" w:rsidR="00257F2B" w:rsidRDefault="00257F2B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Grouped data:</w:t>
            </w:r>
          </w:p>
          <w:p w14:paraId="242A20F7" w14:textId="69361DF7" w:rsidR="00257F2B" w:rsidRPr="00257F2B" w:rsidRDefault="00257F2B" w:rsidP="00257F2B">
            <w:pPr>
              <w:rPr>
                <w:rFonts w:eastAsiaTheme="minorEastAsia"/>
                <w:color w:val="2E74B5" w:themeColor="accent1" w:themeShade="BF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18"/>
                    <w:szCs w:val="18"/>
                  </w:rPr>
                  <m:t>Variance=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18"/>
                        <w:szCs w:val="1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2E74B5" w:themeColor="accent1" w:themeShade="BF"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f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f</m:t>
                        </m:r>
                      </m:e>
                    </m:nary>
                  </m:den>
                </m:f>
                <m:r>
                  <w:rPr>
                    <w:rFonts w:ascii="Cambria Math" w:hAnsi="Cambria Math"/>
                    <w:color w:val="2E74B5" w:themeColor="accent1" w:themeShade="BF"/>
                    <w:sz w:val="18"/>
                    <w:szCs w:val="1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18"/>
                        <w:szCs w:val="18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color w:val="2E74B5" w:themeColor="accent1" w:themeShade="BF"/>
                        <w:sz w:val="18"/>
                        <w:szCs w:val="18"/>
                      </w:rPr>
                      <m:t>2</m:t>
                    </m:r>
                  </m:sup>
                </m:sSup>
              </m:oMath>
            </m:oMathPara>
          </w:p>
          <w:p w14:paraId="7F3F57F4" w14:textId="77777777" w:rsidR="00257F2B" w:rsidRPr="00DB5BD5" w:rsidRDefault="00257F2B" w:rsidP="00257F2B">
            <w:pPr>
              <w:rPr>
                <w:rFonts w:eastAsiaTheme="minorEastAsia"/>
                <w:color w:val="2E74B5" w:themeColor="accent1" w:themeShade="BF"/>
                <w:sz w:val="21"/>
              </w:rPr>
            </w:pPr>
          </w:p>
          <w:p w14:paraId="3C1E1CA2" w14:textId="5FDED8A2" w:rsidR="00257F2B" w:rsidRPr="00257F2B" w:rsidRDefault="00257F2B" w:rsidP="00257F2B">
            <w:pPr>
              <w:rPr>
                <w:color w:val="2E74B5" w:themeColor="accent1" w:themeShade="BF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18"/>
                    <w:szCs w:val="18"/>
                  </w:rPr>
                  <w:lastRenderedPageBreak/>
                  <m:t xml:space="preserve">SD=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18"/>
                        <w:szCs w:val="1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color w:val="2E74B5" w:themeColor="accent1" w:themeShade="BF"/>
                                <w:sz w:val="18"/>
                                <w:szCs w:val="18"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2E74B5" w:themeColor="accent1" w:themeShade="BF"/>
                                    <w:sz w:val="18"/>
                                    <w:szCs w:val="1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2E74B5" w:themeColor="accent1" w:themeShade="BF"/>
                                    <w:sz w:val="18"/>
                                    <w:szCs w:val="1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2E74B5" w:themeColor="accent1" w:themeShade="BF"/>
                                    <w:sz w:val="18"/>
                                    <w:szCs w:val="1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18"/>
                                <w:szCs w:val="18"/>
                              </w:rPr>
                              <m:t>f</m:t>
                            </m:r>
                          </m:e>
                        </m:nary>
                      </m:num>
                      <m:den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color w:val="2E74B5" w:themeColor="accent1" w:themeShade="BF"/>
                                <w:sz w:val="18"/>
                                <w:szCs w:val="18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18"/>
                                <w:szCs w:val="18"/>
                              </w:rPr>
                              <m:t>f</m:t>
                            </m:r>
                          </m:e>
                        </m:nary>
                      </m:den>
                    </m:f>
                    <m:r>
                      <w:rPr>
                        <w:rFonts w:ascii="Cambria Math" w:hAnsi="Cambria Math"/>
                        <w:color w:val="2E74B5" w:themeColor="accent1" w:themeShade="BF"/>
                        <w:sz w:val="18"/>
                        <w:szCs w:val="1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18"/>
                            <w:szCs w:val="18"/>
                          </w:rPr>
                        </m:ctrlPr>
                      </m:s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color w:val="2E74B5" w:themeColor="accent1" w:themeShade="BF"/>
                                <w:sz w:val="18"/>
                                <w:szCs w:val="1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2E74B5" w:themeColor="accent1" w:themeShade="BF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2E74B5" w:themeColor="accent1" w:themeShade="BF"/>
                        <w:sz w:val="18"/>
                        <w:szCs w:val="18"/>
                      </w:rPr>
                      <m:t xml:space="preserve"> </m:t>
                    </m:r>
                  </m:e>
                </m:rad>
              </m:oMath>
            </m:oMathPara>
          </w:p>
          <w:p w14:paraId="5733BF0A" w14:textId="77777777" w:rsidR="00257F2B" w:rsidRDefault="00257F2B" w:rsidP="000A477F">
            <w:pPr>
              <w:rPr>
                <w:color w:val="2E74B5" w:themeColor="accent1" w:themeShade="BF"/>
                <w:sz w:val="21"/>
              </w:rPr>
            </w:pPr>
          </w:p>
          <w:p w14:paraId="2F06210D" w14:textId="77777777" w:rsidR="001732B0" w:rsidRDefault="001732B0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3.3 examples</w:t>
            </w:r>
          </w:p>
          <w:p w14:paraId="746E97DF" w14:textId="540643CA" w:rsidR="001732B0" w:rsidRDefault="001732B0" w:rsidP="000A47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NOTE:  for continuous data (weight, age) with gaps, use boundaries</w:t>
            </w:r>
          </w:p>
          <w:p w14:paraId="192EAAB2" w14:textId="7CEF5CB5" w:rsidR="001732B0" w:rsidRDefault="001732B0" w:rsidP="00197B6B">
            <w:pPr>
              <w:rPr>
                <w:color w:val="2E74B5" w:themeColor="accent1" w:themeShade="BF"/>
                <w:sz w:val="21"/>
              </w:rPr>
            </w:pPr>
            <w:r w:rsidRPr="00197B6B">
              <w:rPr>
                <w:color w:val="2E74B5" w:themeColor="accent1" w:themeShade="BF"/>
                <w:sz w:val="21"/>
                <w:highlight w:val="yellow"/>
              </w:rPr>
              <w:t xml:space="preserve">3B </w:t>
            </w:r>
            <w:r w:rsidR="00197B6B" w:rsidRPr="00197B6B">
              <w:rPr>
                <w:color w:val="2E74B5" w:themeColor="accent1" w:themeShade="BF"/>
                <w:sz w:val="21"/>
                <w:highlight w:val="yellow"/>
              </w:rPr>
              <w:t>2, 3, 6, 8, 9, 11</w:t>
            </w:r>
          </w:p>
          <w:p w14:paraId="3C0E8513" w14:textId="763A2EEA" w:rsidR="000A477F" w:rsidRPr="00522658" w:rsidRDefault="00A62797" w:rsidP="001732B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SD vs IQR: more/less affected by extremes</w:t>
            </w:r>
          </w:p>
        </w:tc>
        <w:tc>
          <w:tcPr>
            <w:tcW w:w="3240" w:type="dxa"/>
            <w:gridSpan w:val="2"/>
          </w:tcPr>
          <w:p w14:paraId="1413ECF7" w14:textId="417C3815" w:rsidR="000A477F" w:rsidRPr="00213BC9" w:rsidRDefault="000A477F" w:rsidP="000A477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0A477F" w:rsidRPr="00E4361B" w:rsidRDefault="000A477F" w:rsidP="000A477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A477F" w14:paraId="71816EC0" w14:textId="77777777" w:rsidTr="00D514A9">
        <w:tc>
          <w:tcPr>
            <w:tcW w:w="14390" w:type="dxa"/>
            <w:gridSpan w:val="10"/>
          </w:tcPr>
          <w:p w14:paraId="31C07641" w14:textId="77B8037C" w:rsidR="000A477F" w:rsidRPr="007A2EE3" w:rsidRDefault="000A477F" w:rsidP="000A477F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0A477F" w:rsidRPr="007A2EE3" w:rsidRDefault="000A477F" w:rsidP="000A477F">
            <w:pPr>
              <w:rPr>
                <w:sz w:val="20"/>
              </w:rPr>
            </w:pPr>
          </w:p>
          <w:p w14:paraId="7ECF4B1C" w14:textId="77777777" w:rsidR="000A477F" w:rsidRPr="007A2EE3" w:rsidRDefault="000A477F" w:rsidP="000A477F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MVariable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F3FD0"/>
    <w:multiLevelType w:val="hybridMultilevel"/>
    <w:tmpl w:val="7494B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3DD"/>
    <w:rsid w:val="00043ED7"/>
    <w:rsid w:val="000460EB"/>
    <w:rsid w:val="0005031C"/>
    <w:rsid w:val="00050743"/>
    <w:rsid w:val="00050FA6"/>
    <w:rsid w:val="0005647C"/>
    <w:rsid w:val="0008142A"/>
    <w:rsid w:val="000841FA"/>
    <w:rsid w:val="000A3929"/>
    <w:rsid w:val="000A477F"/>
    <w:rsid w:val="000B483D"/>
    <w:rsid w:val="000B7956"/>
    <w:rsid w:val="00103676"/>
    <w:rsid w:val="001063A5"/>
    <w:rsid w:val="00142284"/>
    <w:rsid w:val="001505DF"/>
    <w:rsid w:val="001732B0"/>
    <w:rsid w:val="0018266D"/>
    <w:rsid w:val="0019589A"/>
    <w:rsid w:val="00197B6B"/>
    <w:rsid w:val="001B7A3A"/>
    <w:rsid w:val="001E1781"/>
    <w:rsid w:val="001F1B37"/>
    <w:rsid w:val="002066A2"/>
    <w:rsid w:val="00213BC9"/>
    <w:rsid w:val="00217CF3"/>
    <w:rsid w:val="00223D9C"/>
    <w:rsid w:val="002421DB"/>
    <w:rsid w:val="00257F2B"/>
    <w:rsid w:val="00275D59"/>
    <w:rsid w:val="002905A8"/>
    <w:rsid w:val="002A523E"/>
    <w:rsid w:val="002A73FF"/>
    <w:rsid w:val="002B18F4"/>
    <w:rsid w:val="002B26ED"/>
    <w:rsid w:val="00301465"/>
    <w:rsid w:val="00320B9A"/>
    <w:rsid w:val="0034644E"/>
    <w:rsid w:val="00355B3C"/>
    <w:rsid w:val="003608D7"/>
    <w:rsid w:val="00366F69"/>
    <w:rsid w:val="00382BA9"/>
    <w:rsid w:val="00395C41"/>
    <w:rsid w:val="003B6AEB"/>
    <w:rsid w:val="003D3B24"/>
    <w:rsid w:val="003F30CC"/>
    <w:rsid w:val="00405986"/>
    <w:rsid w:val="00471FC1"/>
    <w:rsid w:val="00473172"/>
    <w:rsid w:val="00477C6A"/>
    <w:rsid w:val="00480920"/>
    <w:rsid w:val="00492C23"/>
    <w:rsid w:val="004A1D33"/>
    <w:rsid w:val="004D4062"/>
    <w:rsid w:val="004E0681"/>
    <w:rsid w:val="004E27A0"/>
    <w:rsid w:val="004F08D5"/>
    <w:rsid w:val="00515F65"/>
    <w:rsid w:val="00522658"/>
    <w:rsid w:val="00582205"/>
    <w:rsid w:val="005851B0"/>
    <w:rsid w:val="00586F34"/>
    <w:rsid w:val="005973FB"/>
    <w:rsid w:val="005A6CE6"/>
    <w:rsid w:val="005B6E92"/>
    <w:rsid w:val="005D42DD"/>
    <w:rsid w:val="005F38DE"/>
    <w:rsid w:val="005F58E0"/>
    <w:rsid w:val="00671081"/>
    <w:rsid w:val="00685E44"/>
    <w:rsid w:val="006A118C"/>
    <w:rsid w:val="006A2BFE"/>
    <w:rsid w:val="006A3DB3"/>
    <w:rsid w:val="006D5AFB"/>
    <w:rsid w:val="006F66F0"/>
    <w:rsid w:val="00723D7E"/>
    <w:rsid w:val="00751A39"/>
    <w:rsid w:val="00766B9D"/>
    <w:rsid w:val="0079473B"/>
    <w:rsid w:val="00796AC2"/>
    <w:rsid w:val="007A2EE3"/>
    <w:rsid w:val="007C086F"/>
    <w:rsid w:val="007D5F2E"/>
    <w:rsid w:val="00804EEA"/>
    <w:rsid w:val="0084468A"/>
    <w:rsid w:val="00851A4C"/>
    <w:rsid w:val="008801CD"/>
    <w:rsid w:val="008901C8"/>
    <w:rsid w:val="008D1385"/>
    <w:rsid w:val="008F6398"/>
    <w:rsid w:val="00912C9A"/>
    <w:rsid w:val="00915C62"/>
    <w:rsid w:val="00933173"/>
    <w:rsid w:val="00964AE4"/>
    <w:rsid w:val="009669B6"/>
    <w:rsid w:val="00995FB4"/>
    <w:rsid w:val="009B5B70"/>
    <w:rsid w:val="009C4CEC"/>
    <w:rsid w:val="009D2136"/>
    <w:rsid w:val="009E1775"/>
    <w:rsid w:val="009E6FE2"/>
    <w:rsid w:val="009F12F3"/>
    <w:rsid w:val="009F5FF2"/>
    <w:rsid w:val="009F6EE6"/>
    <w:rsid w:val="00A52F1A"/>
    <w:rsid w:val="00A62797"/>
    <w:rsid w:val="00A6456C"/>
    <w:rsid w:val="00A70013"/>
    <w:rsid w:val="00AE15FA"/>
    <w:rsid w:val="00AF290D"/>
    <w:rsid w:val="00B158DF"/>
    <w:rsid w:val="00B15A35"/>
    <w:rsid w:val="00B268B7"/>
    <w:rsid w:val="00B27E2D"/>
    <w:rsid w:val="00B723B8"/>
    <w:rsid w:val="00B74186"/>
    <w:rsid w:val="00B85215"/>
    <w:rsid w:val="00B903F6"/>
    <w:rsid w:val="00BB2153"/>
    <w:rsid w:val="00BC0B83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E066A"/>
    <w:rsid w:val="00D3685F"/>
    <w:rsid w:val="00D514A9"/>
    <w:rsid w:val="00D544DC"/>
    <w:rsid w:val="00D6482C"/>
    <w:rsid w:val="00D67C16"/>
    <w:rsid w:val="00DA459B"/>
    <w:rsid w:val="00DB5BD5"/>
    <w:rsid w:val="00DC5F3E"/>
    <w:rsid w:val="00DD5FED"/>
    <w:rsid w:val="00DF0DFF"/>
    <w:rsid w:val="00E05D51"/>
    <w:rsid w:val="00E13357"/>
    <w:rsid w:val="00E40A47"/>
    <w:rsid w:val="00E4361B"/>
    <w:rsid w:val="00E4684C"/>
    <w:rsid w:val="00E540A3"/>
    <w:rsid w:val="00E80937"/>
    <w:rsid w:val="00E9107E"/>
    <w:rsid w:val="00E91414"/>
    <w:rsid w:val="00E93597"/>
    <w:rsid w:val="00EB00BD"/>
    <w:rsid w:val="00EE1839"/>
    <w:rsid w:val="00EE572D"/>
    <w:rsid w:val="00EF2AC1"/>
    <w:rsid w:val="00F0424D"/>
    <w:rsid w:val="00F0655F"/>
    <w:rsid w:val="00F26BF2"/>
    <w:rsid w:val="00F3424C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7C04-B946-47ED-86EE-1D7A68B5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21</cp:revision>
  <cp:lastPrinted>2019-07-05T07:41:00Z</cp:lastPrinted>
  <dcterms:created xsi:type="dcterms:W3CDTF">2019-09-28T07:10:00Z</dcterms:created>
  <dcterms:modified xsi:type="dcterms:W3CDTF">2020-10-09T09:07:00Z</dcterms:modified>
</cp:coreProperties>
</file>