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83C069E" w:rsidR="00BC0B83" w:rsidRPr="002A523E" w:rsidRDefault="00504177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3BF0331E" w:rsidR="006D5AFB" w:rsidRPr="006D5AFB" w:rsidRDefault="009F12F3" w:rsidP="00BD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BD5807">
              <w:rPr>
                <w:sz w:val="24"/>
                <w:szCs w:val="24"/>
              </w:rPr>
              <w:t>A Level Mathematics</w:t>
            </w:r>
            <w:r w:rsidR="00B51D5A">
              <w:rPr>
                <w:sz w:val="24"/>
                <w:szCs w:val="24"/>
              </w:rPr>
              <w:t xml:space="preserve"> 9709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1629046E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6D5AFB">
              <w:rPr>
                <w:sz w:val="24"/>
                <w:szCs w:val="24"/>
              </w:rPr>
              <w:t>Week:</w:t>
            </w:r>
          </w:p>
          <w:p w14:paraId="475A63ED" w14:textId="7601B887" w:rsidR="006D5AFB" w:rsidRPr="006D5AFB" w:rsidRDefault="0011020A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End w:id="0"/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157313CC" w:rsidR="006D5AFB" w:rsidRPr="006D5AFB" w:rsidRDefault="0011020A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A477F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D74AAA3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M9</w:t>
            </w:r>
          </w:p>
        </w:tc>
        <w:tc>
          <w:tcPr>
            <w:tcW w:w="1890" w:type="dxa"/>
          </w:tcPr>
          <w:p w14:paraId="18553769" w14:textId="77777777" w:rsidR="000A477F" w:rsidRDefault="00274803" w:rsidP="00FC5520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 w:rsidR="00FA40D2">
              <w:rPr>
                <w:color w:val="2E74B5" w:themeColor="accent1" w:themeShade="BF"/>
              </w:rPr>
              <w:t>4</w:t>
            </w:r>
            <w:r>
              <w:rPr>
                <w:color w:val="2E74B5" w:themeColor="accent1" w:themeShade="BF"/>
              </w:rPr>
              <w:t xml:space="preserve"> </w:t>
            </w:r>
            <w:r w:rsidR="00FA40D2">
              <w:rPr>
                <w:color w:val="2E74B5" w:themeColor="accent1" w:themeShade="BF"/>
              </w:rPr>
              <w:t>Probability</w:t>
            </w:r>
            <w:r w:rsidR="00FC5520">
              <w:rPr>
                <w:color w:val="2E74B5" w:themeColor="accent1" w:themeShade="BF"/>
              </w:rPr>
              <w:t xml:space="preserve"> 4.1</w:t>
            </w:r>
            <w:r>
              <w:rPr>
                <w:color w:val="2E74B5" w:themeColor="accent1" w:themeShade="BF"/>
              </w:rPr>
              <w:t xml:space="preserve"> </w:t>
            </w:r>
            <w:r w:rsidR="00FC5520">
              <w:rPr>
                <w:color w:val="2E74B5" w:themeColor="accent1" w:themeShade="BF"/>
              </w:rPr>
              <w:t>Experiments, events and outcomes</w:t>
            </w:r>
            <w:r>
              <w:rPr>
                <w:color w:val="2E74B5" w:themeColor="accent1" w:themeShade="BF"/>
              </w:rPr>
              <w:t xml:space="preserve"> (p. </w:t>
            </w:r>
            <w:r w:rsidR="00FC5520">
              <w:rPr>
                <w:color w:val="2E74B5" w:themeColor="accent1" w:themeShade="BF"/>
              </w:rPr>
              <w:t>91</w:t>
            </w:r>
            <w:r>
              <w:rPr>
                <w:color w:val="2E74B5" w:themeColor="accent1" w:themeShade="BF"/>
              </w:rPr>
              <w:t>)</w:t>
            </w:r>
          </w:p>
          <w:p w14:paraId="3C2B13C7" w14:textId="77777777" w:rsidR="00FC5520" w:rsidRDefault="00FC5520" w:rsidP="00FC5520">
            <w:pPr>
              <w:rPr>
                <w:color w:val="2E74B5" w:themeColor="accent1" w:themeShade="BF"/>
              </w:rPr>
            </w:pPr>
          </w:p>
          <w:p w14:paraId="39AAF269" w14:textId="5BA28618" w:rsidR="00FC5520" w:rsidRPr="00EE572D" w:rsidRDefault="00FC5520" w:rsidP="00FC55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4.2 Mutually exclusive events (p. 94)</w:t>
            </w:r>
          </w:p>
        </w:tc>
        <w:tc>
          <w:tcPr>
            <w:tcW w:w="2880" w:type="dxa"/>
          </w:tcPr>
          <w:p w14:paraId="4AF50452" w14:textId="0F821CD5" w:rsidR="0075229F" w:rsidRDefault="00274803" w:rsidP="0075229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T</w:t>
            </w:r>
            <w:r w:rsidR="0075229F">
              <w:rPr>
                <w:rFonts w:ascii="BlissPro-Light" w:hAnsi="BlissPro-Light" w:cs="BlissPro-Light"/>
                <w:sz w:val="21"/>
                <w:szCs w:val="21"/>
              </w:rPr>
              <w:t>opic 5.3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 w:rsidR="0075229F">
              <w:rPr>
                <w:rFonts w:ascii="BlissPro-Light" w:hAnsi="BlissPro-Light" w:cs="BlissPro-Light"/>
                <w:sz w:val="21"/>
                <w:szCs w:val="21"/>
              </w:rPr>
              <w:t>Probability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: </w:t>
            </w:r>
            <w:r w:rsidR="0075229F">
              <w:rPr>
                <w:rFonts w:ascii="BlissPro-Light" w:hAnsi="BlissPro-Light" w:cs="BlissPro-Light"/>
                <w:sz w:val="21"/>
                <w:szCs w:val="21"/>
              </w:rPr>
              <w:t xml:space="preserve">Evaluate probabilities in simple cases by means of enumeration of </w:t>
            </w:r>
            <w:proofErr w:type="spellStart"/>
            <w:r w:rsidR="0075229F">
              <w:rPr>
                <w:rFonts w:ascii="BlissPro-Light" w:hAnsi="BlissPro-Light" w:cs="BlissPro-Light"/>
                <w:sz w:val="21"/>
                <w:szCs w:val="21"/>
              </w:rPr>
              <w:t>equiprobable</w:t>
            </w:r>
            <w:proofErr w:type="spellEnd"/>
            <w:r w:rsidR="0075229F">
              <w:rPr>
                <w:rFonts w:ascii="BlissPro-Light" w:hAnsi="BlissPro-Light" w:cs="BlissPro-Light"/>
                <w:sz w:val="21"/>
                <w:szCs w:val="21"/>
              </w:rPr>
              <w:t xml:space="preserve"> elementary</w:t>
            </w:r>
          </w:p>
          <w:p w14:paraId="4FC1B05A" w14:textId="6ACB4A74" w:rsidR="00D8233A" w:rsidRPr="009F6EE6" w:rsidRDefault="0075229F" w:rsidP="00D8233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events, or by calculation using permutations or combinations; use addition and multiplication of probabilities, a</w:t>
            </w:r>
            <w:r w:rsidR="00D8233A">
              <w:rPr>
                <w:rFonts w:ascii="BlissPro-Light" w:hAnsi="BlissPro-Light" w:cs="BlissPro-Light"/>
                <w:sz w:val="21"/>
                <w:szCs w:val="21"/>
              </w:rPr>
              <w:t>s appropriate, in simple cases; understand the meaning of exclusive events</w:t>
            </w:r>
          </w:p>
          <w:p w14:paraId="6E228A79" w14:textId="28A626F9" w:rsidR="000A477F" w:rsidRPr="009F6EE6" w:rsidRDefault="000A477F" w:rsidP="003B06A1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0000E3BE" w14:textId="77777777" w:rsidR="00274803" w:rsidRDefault="00FC5520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P(x) =</w:t>
            </w:r>
            <w:r>
              <w:rPr>
                <w:color w:val="2E74B5" w:themeColor="accent1" w:themeShade="BF"/>
                <w:sz w:val="21"/>
              </w:rPr>
              <w:br/>
              <w:t>favorable outcomes/total outcomes</w:t>
            </w:r>
          </w:p>
          <w:p w14:paraId="658D8425" w14:textId="18EF76F7" w:rsidR="007E15E2" w:rsidRPr="007E15E2" w:rsidRDefault="007E15E2" w:rsidP="007E15E2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=1-P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A'</m:t>
                    </m:r>
                  </m:e>
                </m:d>
              </m:oMath>
            </m:oMathPara>
          </w:p>
          <w:p w14:paraId="49E230B6" w14:textId="3400CAB3" w:rsidR="007E15E2" w:rsidRPr="007E15E2" w:rsidRDefault="007E15E2" w:rsidP="007E15E2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Expectation=n×P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e>
                </m:d>
              </m:oMath>
            </m:oMathPara>
          </w:p>
          <w:p w14:paraId="04FF2788" w14:textId="77777777" w:rsidR="00FC5520" w:rsidRDefault="00FC5520" w:rsidP="00FC5520">
            <w:pPr>
              <w:rPr>
                <w:color w:val="2E74B5" w:themeColor="accent1" w:themeShade="BF"/>
                <w:sz w:val="21"/>
              </w:rPr>
            </w:pPr>
          </w:p>
          <w:p w14:paraId="2F366959" w14:textId="77777777" w:rsidR="00FC5520" w:rsidRDefault="00FC5520" w:rsidP="00FC55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4.1 examples</w:t>
            </w:r>
          </w:p>
          <w:p w14:paraId="55389F12" w14:textId="0693120A" w:rsidR="00FC5520" w:rsidRDefault="00FC5520" w:rsidP="00FC5520">
            <w:pPr>
              <w:rPr>
                <w:color w:val="2E74B5" w:themeColor="accent1" w:themeShade="BF"/>
                <w:sz w:val="21"/>
              </w:rPr>
            </w:pPr>
            <w:r w:rsidRPr="00E92EA0">
              <w:rPr>
                <w:color w:val="2E74B5" w:themeColor="accent1" w:themeShade="BF"/>
                <w:sz w:val="21"/>
                <w:highlight w:val="yellow"/>
              </w:rPr>
              <w:t>4A 2, 5, 7, 8</w:t>
            </w:r>
          </w:p>
          <w:p w14:paraId="4B9C3398" w14:textId="77777777" w:rsidR="00FC5520" w:rsidRDefault="00FC5520" w:rsidP="00FC5520">
            <w:pPr>
              <w:rPr>
                <w:color w:val="2E74B5" w:themeColor="accent1" w:themeShade="BF"/>
                <w:sz w:val="21"/>
              </w:rPr>
            </w:pPr>
          </w:p>
          <w:p w14:paraId="16CE6BB1" w14:textId="77777777" w:rsidR="00FC5520" w:rsidRDefault="00FC5520" w:rsidP="00FC552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Addition law:</w:t>
            </w:r>
          </w:p>
          <w:p w14:paraId="2424EA5F" w14:textId="5877AC21" w:rsidR="00FC5520" w:rsidRPr="007E15E2" w:rsidRDefault="007E15E2" w:rsidP="007E15E2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2E74B5" w:themeColor="accent1" w:themeShade="BF"/>
                        <w:sz w:val="21"/>
                      </w:rPr>
                      <m:t>∪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E74B5" w:themeColor="accent1" w:themeShade="BF"/>
                    <w:sz w:val="21"/>
                  </w:rPr>
                  <m:t>+</m:t>
                </m:r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P(B)</m:t>
                </m:r>
              </m:oMath>
            </m:oMathPara>
          </w:p>
          <w:p w14:paraId="644BAAB0" w14:textId="75F0BC83" w:rsidR="007E15E2" w:rsidRPr="007E15E2" w:rsidRDefault="007E15E2" w:rsidP="007E15E2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2E74B5" w:themeColor="accent1" w:themeShade="BF"/>
                        <w:sz w:val="21"/>
                      </w:rPr>
                      <m:t>∩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=0</m:t>
                </m:r>
              </m:oMath>
            </m:oMathPara>
          </w:p>
          <w:p w14:paraId="07FF5DF4" w14:textId="77777777" w:rsidR="00BD0FA7" w:rsidRDefault="00BD0FA7" w:rsidP="00BD0FA7">
            <w:pPr>
              <w:rPr>
                <w:color w:val="2E74B5" w:themeColor="accent1" w:themeShade="BF"/>
                <w:sz w:val="21"/>
              </w:rPr>
            </w:pPr>
          </w:p>
          <w:p w14:paraId="6AC40FD0" w14:textId="77777777" w:rsidR="00BD0FA7" w:rsidRPr="00D8233A" w:rsidRDefault="00BD0FA7" w:rsidP="00BD0FA7">
            <w:pPr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D8233A">
              <w:rPr>
                <w:color w:val="2E74B5" w:themeColor="accent1" w:themeShade="BF"/>
                <w:sz w:val="21"/>
                <w:lang w:val="es-CO"/>
              </w:rPr>
              <w:t>Venn</w:t>
            </w:r>
            <w:proofErr w:type="spellEnd"/>
            <w:r w:rsidRPr="00D8233A"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 w:rsidRPr="00D8233A">
              <w:rPr>
                <w:color w:val="2E74B5" w:themeColor="accent1" w:themeShade="BF"/>
                <w:sz w:val="21"/>
                <w:lang w:val="es-CO"/>
              </w:rPr>
              <w:t>diagrams</w:t>
            </w:r>
            <w:proofErr w:type="spellEnd"/>
          </w:p>
          <w:p w14:paraId="48BAE37E" w14:textId="77777777" w:rsidR="00BD0FA7" w:rsidRPr="00D8233A" w:rsidRDefault="00BD0FA7" w:rsidP="00BD0FA7">
            <w:pPr>
              <w:rPr>
                <w:color w:val="2E74B5" w:themeColor="accent1" w:themeShade="BF"/>
                <w:sz w:val="21"/>
                <w:lang w:val="es-CO"/>
              </w:rPr>
            </w:pPr>
            <w:r w:rsidRPr="00D8233A">
              <w:rPr>
                <w:color w:val="2E74B5" w:themeColor="accent1" w:themeShade="BF"/>
                <w:sz w:val="21"/>
                <w:lang w:val="es-CO"/>
              </w:rPr>
              <w:t xml:space="preserve">4.2 </w:t>
            </w:r>
            <w:proofErr w:type="spellStart"/>
            <w:r w:rsidRPr="00D8233A">
              <w:rPr>
                <w:color w:val="2E74B5" w:themeColor="accent1" w:themeShade="BF"/>
                <w:sz w:val="21"/>
                <w:lang w:val="es-CO"/>
              </w:rPr>
              <w:t>examples</w:t>
            </w:r>
            <w:proofErr w:type="spellEnd"/>
          </w:p>
          <w:p w14:paraId="3E27261D" w14:textId="5327B29E" w:rsidR="00BD0FA7" w:rsidRPr="00D8233A" w:rsidRDefault="00BD0FA7" w:rsidP="00BD0FA7">
            <w:pPr>
              <w:rPr>
                <w:color w:val="2E74B5" w:themeColor="accent1" w:themeShade="BF"/>
                <w:sz w:val="21"/>
                <w:lang w:val="es-CO"/>
              </w:rPr>
            </w:pPr>
            <w:r w:rsidRPr="00E92EA0">
              <w:rPr>
                <w:color w:val="2E74B5" w:themeColor="accent1" w:themeShade="BF"/>
                <w:sz w:val="21"/>
                <w:highlight w:val="yellow"/>
                <w:lang w:val="es-CO"/>
              </w:rPr>
              <w:t>4B 6, 10, 12</w:t>
            </w:r>
            <w:r w:rsidRPr="00D8233A"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</w:p>
        </w:tc>
        <w:tc>
          <w:tcPr>
            <w:tcW w:w="3240" w:type="dxa"/>
            <w:gridSpan w:val="2"/>
          </w:tcPr>
          <w:p w14:paraId="4DB8E3B8" w14:textId="77777777" w:rsidR="00DF2A0D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5E9EFFB7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4C4F516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2FB0C28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40E3917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0B10A09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0173363C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 P</w:t>
            </w:r>
          </w:p>
          <w:p w14:paraId="25B4AC10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F39AAB8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6422B2B4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22E900B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F58A8A5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374ABA0D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DC5809A" w14:textId="77777777" w:rsidR="00DC4A86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5F0B2654" w:rsidR="00DC4A86" w:rsidRPr="00D8233A" w:rsidRDefault="00DC4A86" w:rsidP="000A477F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 P</w:t>
            </w:r>
          </w:p>
        </w:tc>
        <w:tc>
          <w:tcPr>
            <w:tcW w:w="1795" w:type="dxa"/>
            <w:gridSpan w:val="3"/>
          </w:tcPr>
          <w:p w14:paraId="0B4C37A7" w14:textId="7E250A77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74803" w:rsidRPr="00671081" w14:paraId="338605A9" w14:textId="77777777" w:rsidTr="002421DB">
        <w:tc>
          <w:tcPr>
            <w:tcW w:w="805" w:type="dxa"/>
          </w:tcPr>
          <w:p w14:paraId="7C41DFFF" w14:textId="1CE38251" w:rsidR="00274803" w:rsidRPr="00671081" w:rsidRDefault="0027480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M10</w:t>
            </w:r>
          </w:p>
        </w:tc>
        <w:tc>
          <w:tcPr>
            <w:tcW w:w="1890" w:type="dxa"/>
          </w:tcPr>
          <w:p w14:paraId="3374E81C" w14:textId="6776EF06" w:rsidR="00BD0FA7" w:rsidRDefault="00BD0FA7" w:rsidP="00BD0FA7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4 Probability 4.3 Independent events (p. 100)</w:t>
            </w:r>
          </w:p>
          <w:p w14:paraId="063B2889" w14:textId="5276C4E4" w:rsidR="00274803" w:rsidRPr="007A2EE3" w:rsidRDefault="00274803" w:rsidP="00BD0FA7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1CC3201E" w14:textId="7B7E0C48" w:rsidR="00F865EA" w:rsidRDefault="00F865EA" w:rsidP="00D8233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 xml:space="preserve">Topic 5.3 Probability: </w:t>
            </w:r>
            <w:r w:rsidR="00D8233A">
              <w:rPr>
                <w:rFonts w:ascii="BlissPro-Light" w:hAnsi="BlissPro-Light" w:cs="BlissPro-Light"/>
                <w:sz w:val="21"/>
                <w:szCs w:val="21"/>
              </w:rPr>
              <w:t>U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nderstand the meaning of independent events, including determination of whether events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A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B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are independent by comparing the values of </w:t>
            </w:r>
            <w:r>
              <w:rPr>
                <w:rFonts w:ascii="TimesNewRomanPSMT" w:hAnsi="TimesNewRomanPSMT" w:cs="TimesNewRomanPSMT"/>
              </w:rPr>
              <w:t>P</w:t>
            </w:r>
            <w:r>
              <w:rPr>
                <w:rFonts w:ascii="MMVariableA" w:hAnsi="MMVariableA" w:cs="MMVariableA"/>
                <w:sz w:val="20"/>
                <w:szCs w:val="20"/>
              </w:rPr>
              <w:t>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∩</w:t>
            </w:r>
            <w:r>
              <w:rPr>
                <w:rFonts w:ascii="MMBinary" w:hAnsi="MMBinary" w:cs="MMBinary"/>
                <w:sz w:val="20"/>
                <w:szCs w:val="20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B</w:t>
            </w:r>
            <w:r>
              <w:rPr>
                <w:rFonts w:ascii="MMVariableA" w:hAnsi="MMVariableA" w:cs="MMVariableA"/>
                <w:sz w:val="20"/>
                <w:szCs w:val="20"/>
              </w:rPr>
              <w:t xml:space="preserve">)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and</w:t>
            </w:r>
          </w:p>
          <w:p w14:paraId="04B3DFF1" w14:textId="450D0993" w:rsidR="00D8233A" w:rsidRPr="00B158DF" w:rsidRDefault="00F865EA" w:rsidP="00D8233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4"/>
                <w:szCs w:val="21"/>
              </w:rPr>
            </w:pPr>
            <w:r>
              <w:rPr>
                <w:rFonts w:ascii="TimesNewRomanPSMT" w:hAnsi="TimesNewRomanPSMT" w:cs="TimesNewRomanPSMT"/>
              </w:rPr>
              <w:t>P</w:t>
            </w:r>
            <w:r>
              <w:rPr>
                <w:rFonts w:ascii="MMVariableA" w:hAnsi="MMVariableA" w:cs="MMVariableA"/>
                <w:sz w:val="20"/>
                <w:szCs w:val="20"/>
              </w:rPr>
              <w:t>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</w:t>
            </w:r>
            <w:r>
              <w:rPr>
                <w:rFonts w:ascii="MMVariableA" w:hAnsi="MMVariableA" w:cs="MMVariableA"/>
                <w:sz w:val="20"/>
                <w:szCs w:val="20"/>
              </w:rPr>
              <w:t xml:space="preserve">) </w:t>
            </w:r>
            <w:r>
              <w:rPr>
                <w:rFonts w:ascii="MMBinary" w:hAnsi="MMBinary" w:cs="MMBinary"/>
                <w:sz w:val="18"/>
                <w:szCs w:val="18"/>
              </w:rPr>
              <w:t xml:space="preserve">x </w:t>
            </w:r>
            <w:r>
              <w:rPr>
                <w:rFonts w:ascii="TimesNewRomanPSMT" w:hAnsi="TimesNewRomanPSMT" w:cs="TimesNewRomanPSMT"/>
              </w:rPr>
              <w:t>P</w:t>
            </w:r>
            <w:r>
              <w:rPr>
                <w:rFonts w:ascii="MMVariableA" w:hAnsi="MMVariableA" w:cs="MMVariableA"/>
                <w:sz w:val="20"/>
                <w:szCs w:val="20"/>
              </w:rPr>
              <w:t>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B</w:t>
            </w:r>
            <w:r>
              <w:rPr>
                <w:rFonts w:ascii="MMVariableA" w:hAnsi="MMVariableA" w:cs="MMVariableA"/>
                <w:sz w:val="20"/>
                <w:szCs w:val="20"/>
              </w:rPr>
              <w:t>)</w:t>
            </w:r>
          </w:p>
          <w:p w14:paraId="268EBCA7" w14:textId="2DAA2CCE" w:rsidR="00274803" w:rsidRPr="00B158DF" w:rsidRDefault="00274803" w:rsidP="00F865E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4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45A78126" w14:textId="77777777" w:rsidR="00C873FC" w:rsidRDefault="00BD0FA7" w:rsidP="00C873FC">
            <w:pPr>
              <w:tabs>
                <w:tab w:val="center" w:pos="1782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Multiplication law</w:t>
            </w:r>
          </w:p>
          <w:p w14:paraId="6ED0DA7E" w14:textId="6B64EB71" w:rsidR="007E15E2" w:rsidRDefault="007E15E2" w:rsidP="007E15E2">
            <w:pPr>
              <w:rPr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2E74B5" w:themeColor="accent1" w:themeShade="BF"/>
                        <w:sz w:val="21"/>
                      </w:rPr>
                      <m:t>∩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E74B5" w:themeColor="accent1" w:themeShade="BF"/>
                    <w:sz w:val="21"/>
                  </w:rPr>
                  <m:t>×</m:t>
                </m:r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P(B)</m:t>
                </m:r>
              </m:oMath>
            </m:oMathPara>
          </w:p>
          <w:p w14:paraId="1D6CF3D2" w14:textId="77777777" w:rsidR="007E15E2" w:rsidRDefault="007E15E2" w:rsidP="00BD0FA7">
            <w:pPr>
              <w:rPr>
                <w:color w:val="2E74B5" w:themeColor="accent1" w:themeShade="BF"/>
                <w:sz w:val="21"/>
              </w:rPr>
            </w:pPr>
          </w:p>
          <w:p w14:paraId="4FE62701" w14:textId="5051BAEF" w:rsidR="00BD0FA7" w:rsidRPr="00D8233A" w:rsidRDefault="00D33A51" w:rsidP="00BD0FA7">
            <w:pPr>
              <w:rPr>
                <w:color w:val="2E74B5" w:themeColor="accent1" w:themeShade="BF"/>
                <w:sz w:val="21"/>
                <w:lang w:val="es-CO"/>
              </w:rPr>
            </w:pPr>
            <w:r w:rsidRPr="00D8233A">
              <w:rPr>
                <w:color w:val="2E74B5" w:themeColor="accent1" w:themeShade="BF"/>
                <w:sz w:val="21"/>
                <w:lang w:val="es-CO"/>
              </w:rPr>
              <w:t xml:space="preserve">4.3 </w:t>
            </w:r>
            <w:proofErr w:type="spellStart"/>
            <w:r w:rsidRPr="00D8233A">
              <w:rPr>
                <w:color w:val="2E74B5" w:themeColor="accent1" w:themeShade="BF"/>
                <w:sz w:val="21"/>
                <w:lang w:val="es-CO"/>
              </w:rPr>
              <w:t>examples</w:t>
            </w:r>
            <w:proofErr w:type="spellEnd"/>
          </w:p>
          <w:p w14:paraId="753E5D73" w14:textId="6CFBC377" w:rsidR="00D33A51" w:rsidRPr="00E92EA0" w:rsidRDefault="00D33A51" w:rsidP="00BD0FA7">
            <w:pPr>
              <w:rPr>
                <w:color w:val="2E74B5" w:themeColor="accent1" w:themeShade="BF"/>
                <w:sz w:val="21"/>
                <w:highlight w:val="yellow"/>
                <w:lang w:val="es-CO"/>
              </w:rPr>
            </w:pPr>
            <w:r w:rsidRPr="00E92EA0">
              <w:rPr>
                <w:color w:val="2E74B5" w:themeColor="accent1" w:themeShade="BF"/>
                <w:sz w:val="21"/>
                <w:highlight w:val="yellow"/>
                <w:lang w:val="es-CO"/>
              </w:rPr>
              <w:t>4C 5, 8, 15</w:t>
            </w:r>
          </w:p>
          <w:p w14:paraId="4CE824F0" w14:textId="1186A757" w:rsidR="00BD0FA7" w:rsidRPr="00D8233A" w:rsidRDefault="00D33A51" w:rsidP="00C873FC">
            <w:pPr>
              <w:tabs>
                <w:tab w:val="center" w:pos="1782"/>
              </w:tabs>
              <w:rPr>
                <w:color w:val="2E74B5" w:themeColor="accent1" w:themeShade="BF"/>
                <w:sz w:val="21"/>
                <w:lang w:val="es-CO"/>
              </w:rPr>
            </w:pPr>
            <w:r w:rsidRPr="00E92EA0">
              <w:rPr>
                <w:color w:val="2E74B5" w:themeColor="accent1" w:themeShade="BF"/>
                <w:sz w:val="21"/>
                <w:highlight w:val="yellow"/>
                <w:lang w:val="es-CO"/>
              </w:rPr>
              <w:t>4D 4, 6, 7, 10, 11</w:t>
            </w:r>
          </w:p>
        </w:tc>
        <w:tc>
          <w:tcPr>
            <w:tcW w:w="3240" w:type="dxa"/>
            <w:gridSpan w:val="2"/>
          </w:tcPr>
          <w:p w14:paraId="49CA5A9A" w14:textId="77777777" w:rsidR="00DF2A0D" w:rsidRDefault="00DC4A86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483FA21A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C3AA7F8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14ABDD9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64ABA9C4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 P</w:t>
            </w:r>
          </w:p>
          <w:p w14:paraId="00DDF5F7" w14:textId="20CFEF70" w:rsidR="00DC4A86" w:rsidRPr="00D8233A" w:rsidRDefault="00DC4A86" w:rsidP="00274803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 P</w:t>
            </w:r>
          </w:p>
        </w:tc>
        <w:tc>
          <w:tcPr>
            <w:tcW w:w="1795" w:type="dxa"/>
            <w:gridSpan w:val="3"/>
          </w:tcPr>
          <w:p w14:paraId="5E31B1FC" w14:textId="29C032FE" w:rsidR="00274803" w:rsidRPr="00671081" w:rsidRDefault="0027480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A43CD" w:rsidRPr="00671081" w14:paraId="4CE6CC68" w14:textId="77777777" w:rsidTr="002421DB">
        <w:tc>
          <w:tcPr>
            <w:tcW w:w="805" w:type="dxa"/>
          </w:tcPr>
          <w:p w14:paraId="44B80805" w14:textId="289CC21F" w:rsidR="008A43CD" w:rsidRPr="00671081" w:rsidRDefault="008A43CD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Th9</w:t>
            </w:r>
          </w:p>
        </w:tc>
        <w:tc>
          <w:tcPr>
            <w:tcW w:w="1890" w:type="dxa"/>
          </w:tcPr>
          <w:p w14:paraId="71E15728" w14:textId="77777777" w:rsidR="007E15E2" w:rsidRDefault="007E15E2" w:rsidP="007E15E2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4 Probability 4.4 Conditional probability (p. 108)</w:t>
            </w:r>
          </w:p>
          <w:p w14:paraId="63187A9C" w14:textId="0864EE5E" w:rsidR="008A43CD" w:rsidRPr="00CE066A" w:rsidRDefault="008A43CD" w:rsidP="00F865EA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602E9D58" w14:textId="6EDAC6CD" w:rsidR="007E15E2" w:rsidRDefault="007E15E2" w:rsidP="00D8233A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 xml:space="preserve">Topic 5.3 Probability: </w:t>
            </w:r>
            <w:r w:rsidR="00D8233A">
              <w:rPr>
                <w:rFonts w:ascii="BlissPro-Light" w:hAnsi="BlissPro-Light" w:cs="BlissPro-Light"/>
                <w:sz w:val="21"/>
                <w:szCs w:val="21"/>
              </w:rPr>
              <w:t>C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alculate and use conditional</w:t>
            </w:r>
            <w:r w:rsidR="00D8233A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probabilities in</w:t>
            </w:r>
            <w:r w:rsidR="00D8233A">
              <w:rPr>
                <w:rFonts w:ascii="BlissPro-Light" w:hAnsi="BlissPro-Light" w:cs="BlissPro-Light"/>
                <w:sz w:val="21"/>
                <w:szCs w:val="21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s</w:t>
            </w:r>
            <w:r w:rsidR="00D8233A">
              <w:rPr>
                <w:rFonts w:ascii="BlissPro-Light" w:hAnsi="BlissPro-Light" w:cs="BlissPro-Light"/>
                <w:sz w:val="21"/>
                <w:szCs w:val="21"/>
              </w:rPr>
              <w:t xml:space="preserve">imple cases, including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the use of</w:t>
            </w:r>
          </w:p>
          <w:p w14:paraId="3D24A7DC" w14:textId="451F9CF0" w:rsidR="008A43CD" w:rsidRPr="00D8233A" w:rsidRDefault="007E15E2" w:rsidP="00D8233A">
            <w:pPr>
              <w:autoSpaceDE w:val="0"/>
              <w:autoSpaceDN w:val="0"/>
              <w:adjustRightInd w:val="0"/>
              <w:rPr>
                <w:rFonts w:ascii="MMVariableA" w:hAnsi="MMVariableA" w:cs="MMVariable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C1A347" wp14:editId="30A1BDB3">
                  <wp:extent cx="1038225" cy="337087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3053" t="70650" r="37312" b="23787"/>
                          <a:stretch/>
                        </pic:blipFill>
                        <pic:spPr bwMode="auto">
                          <a:xfrm>
                            <a:off x="0" y="0"/>
                            <a:ext cx="1069731" cy="347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14:paraId="6579B515" w14:textId="0924DA8C" w:rsidR="00D8233A" w:rsidRDefault="00D8233A" w:rsidP="00D8233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4.4 examples</w:t>
            </w:r>
          </w:p>
          <w:p w14:paraId="4248800F" w14:textId="75CE78DD" w:rsidR="008A43CD" w:rsidRPr="00B15A35" w:rsidRDefault="00D8233A" w:rsidP="00D8233A">
            <w:pPr>
              <w:rPr>
                <w:color w:val="2E74B5" w:themeColor="accent1" w:themeShade="BF"/>
                <w:sz w:val="21"/>
              </w:rPr>
            </w:pPr>
            <w:r w:rsidRPr="00E92EA0">
              <w:rPr>
                <w:color w:val="2E74B5" w:themeColor="accent1" w:themeShade="BF"/>
                <w:sz w:val="21"/>
                <w:highlight w:val="yellow"/>
              </w:rPr>
              <w:t>4E 2, 6, 7, 9</w:t>
            </w:r>
          </w:p>
        </w:tc>
        <w:tc>
          <w:tcPr>
            <w:tcW w:w="3240" w:type="dxa"/>
            <w:gridSpan w:val="2"/>
          </w:tcPr>
          <w:p w14:paraId="64215CCC" w14:textId="77777777" w:rsidR="008A43CD" w:rsidRDefault="00DC4A86" w:rsidP="008A43C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53D2FEF3" w:rsidR="00DC4A86" w:rsidRPr="008D1385" w:rsidRDefault="00DC4A86" w:rsidP="008A43C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3D71AC2B" w14:textId="46EEDA76" w:rsidR="008A43CD" w:rsidRPr="00671081" w:rsidRDefault="00F865EA" w:rsidP="008A43C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74803" w:rsidRPr="00492C23" w14:paraId="6D73044A" w14:textId="77777777" w:rsidTr="002421DB">
        <w:tc>
          <w:tcPr>
            <w:tcW w:w="805" w:type="dxa"/>
          </w:tcPr>
          <w:p w14:paraId="257A934F" w14:textId="6EF1F864" w:rsidR="00274803" w:rsidRPr="00671081" w:rsidRDefault="00274803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Th10</w:t>
            </w:r>
          </w:p>
        </w:tc>
        <w:tc>
          <w:tcPr>
            <w:tcW w:w="1890" w:type="dxa"/>
          </w:tcPr>
          <w:p w14:paraId="5D1BB3C9" w14:textId="26C32D1B" w:rsidR="00D33A51" w:rsidRDefault="00D33A51" w:rsidP="00D8233A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 xml:space="preserve">4 </w:t>
            </w:r>
            <w:r w:rsidR="00D8233A">
              <w:rPr>
                <w:color w:val="2E74B5" w:themeColor="accent1" w:themeShade="BF"/>
              </w:rPr>
              <w:t xml:space="preserve">Probability </w:t>
            </w:r>
            <w:r>
              <w:rPr>
                <w:color w:val="2E74B5" w:themeColor="accent1" w:themeShade="BF"/>
              </w:rPr>
              <w:t>4.</w:t>
            </w:r>
            <w:r w:rsidR="007E15E2">
              <w:rPr>
                <w:color w:val="2E74B5" w:themeColor="accent1" w:themeShade="BF"/>
              </w:rPr>
              <w:t>5</w:t>
            </w:r>
            <w:r>
              <w:rPr>
                <w:color w:val="2E74B5" w:themeColor="accent1" w:themeShade="BF"/>
              </w:rPr>
              <w:t xml:space="preserve"> </w:t>
            </w:r>
            <w:r w:rsidR="00D8233A">
              <w:rPr>
                <w:color w:val="2E74B5" w:themeColor="accent1" w:themeShade="BF"/>
              </w:rPr>
              <w:t xml:space="preserve">Dependent events and </w:t>
            </w:r>
            <w:r w:rsidR="00D8233A">
              <w:rPr>
                <w:color w:val="2E74B5" w:themeColor="accent1" w:themeShade="BF"/>
              </w:rPr>
              <w:lastRenderedPageBreak/>
              <w:t xml:space="preserve">conditional probability </w:t>
            </w:r>
            <w:r>
              <w:rPr>
                <w:color w:val="2E74B5" w:themeColor="accent1" w:themeShade="BF"/>
              </w:rPr>
              <w:t xml:space="preserve">(p. </w:t>
            </w:r>
            <w:r w:rsidR="00D8233A">
              <w:rPr>
                <w:color w:val="2E74B5" w:themeColor="accent1" w:themeShade="BF"/>
              </w:rPr>
              <w:t>112</w:t>
            </w:r>
            <w:r>
              <w:rPr>
                <w:color w:val="2E74B5" w:themeColor="accent1" w:themeShade="BF"/>
              </w:rPr>
              <w:t>)</w:t>
            </w:r>
          </w:p>
          <w:p w14:paraId="6A71FE49" w14:textId="77178A25" w:rsidR="00274803" w:rsidRPr="007A2EE3" w:rsidRDefault="00274803" w:rsidP="00274803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1B4BC0AE" w14:textId="3AC2C0D8" w:rsidR="007E15E2" w:rsidRDefault="007E15E2" w:rsidP="00D8233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lastRenderedPageBreak/>
              <w:t xml:space="preserve">Topic 5.3 Probability: </w:t>
            </w:r>
            <w:r w:rsidR="00D8233A">
              <w:rPr>
                <w:rFonts w:ascii="BlissPro-Light" w:hAnsi="BlissPro-Light" w:cs="BlissPro-Light"/>
                <w:sz w:val="21"/>
                <w:szCs w:val="21"/>
              </w:rPr>
              <w:t>C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alculate and use conditional probabilities in</w:t>
            </w:r>
          </w:p>
          <w:p w14:paraId="442BA688" w14:textId="77777777" w:rsidR="007E15E2" w:rsidRDefault="007E15E2" w:rsidP="007E15E2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lastRenderedPageBreak/>
              <w:t>simple cases (the use of</w:t>
            </w:r>
          </w:p>
          <w:p w14:paraId="59A088A5" w14:textId="77777777" w:rsidR="007E15E2" w:rsidRDefault="007E15E2" w:rsidP="007E15E2">
            <w:pPr>
              <w:autoSpaceDE w:val="0"/>
              <w:autoSpaceDN w:val="0"/>
              <w:adjustRightInd w:val="0"/>
              <w:rPr>
                <w:rFonts w:ascii="MMVariableA" w:hAnsi="MMVariableA" w:cs="MMVariable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018336" wp14:editId="7A13A048">
                  <wp:extent cx="1038225" cy="337087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3053" t="70650" r="37312" b="23787"/>
                          <a:stretch/>
                        </pic:blipFill>
                        <pic:spPr bwMode="auto">
                          <a:xfrm>
                            <a:off x="0" y="0"/>
                            <a:ext cx="1069731" cy="347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352663" w14:textId="7EA70897" w:rsidR="00274803" w:rsidRPr="00912C9A" w:rsidRDefault="007E15E2" w:rsidP="007E15E2">
            <w:pPr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may be required in simple cases)</w:t>
            </w:r>
          </w:p>
        </w:tc>
        <w:tc>
          <w:tcPr>
            <w:tcW w:w="3780" w:type="dxa"/>
            <w:gridSpan w:val="2"/>
          </w:tcPr>
          <w:p w14:paraId="07401A6E" w14:textId="77777777" w:rsidR="00D8233A" w:rsidRDefault="00D8233A" w:rsidP="00D8233A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w: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  <w:lastRenderedPageBreak/>
              <w:t>Dependent events</w:t>
            </w:r>
          </w:p>
          <w:p w14:paraId="4142A855" w14:textId="77777777" w:rsidR="00D8233A" w:rsidRDefault="00D8233A" w:rsidP="00D8233A">
            <w:pPr>
              <w:rPr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2E74B5" w:themeColor="accent1" w:themeShade="BF"/>
                        <w:sz w:val="21"/>
                      </w:rPr>
                      <m:t>∩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B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E74B5" w:themeColor="accent1" w:themeShade="BF"/>
                    <w:sz w:val="21"/>
                  </w:rPr>
                  <m:t>×</m:t>
                </m:r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e>
                </m:d>
              </m:oMath>
            </m:oMathPara>
          </w:p>
          <w:p w14:paraId="35408B76" w14:textId="77777777" w:rsidR="00D8233A" w:rsidRDefault="00D8233A" w:rsidP="00D8233A">
            <w:pPr>
              <w:rPr>
                <w:rFonts w:eastAsiaTheme="minorEastAsia"/>
                <w:color w:val="2E74B5" w:themeColor="accent1" w:themeShade="BF"/>
                <w:sz w:val="21"/>
              </w:rPr>
            </w:pPr>
          </w:p>
          <w:p w14:paraId="08330BC2" w14:textId="77777777" w:rsidR="00D8233A" w:rsidRPr="007E15E2" w:rsidRDefault="00D8233A" w:rsidP="00D8233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lastRenderedPageBreak/>
              <w:t>Conditional probability</w:t>
            </w:r>
          </w:p>
          <w:p w14:paraId="2956B572" w14:textId="77777777" w:rsidR="00D8233A" w:rsidRPr="00D8233A" w:rsidRDefault="00D8233A" w:rsidP="00D8233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P(A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2E74B5" w:themeColor="accent1" w:themeShade="BF"/>
                        <w:sz w:val="21"/>
                      </w:rPr>
                      <m:t>∩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B)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P(A)</m:t>
                    </m:r>
                  </m:den>
                </m:f>
              </m:oMath>
            </m:oMathPara>
          </w:p>
          <w:p w14:paraId="7F08350A" w14:textId="77777777" w:rsidR="00D8233A" w:rsidRDefault="00D8233A" w:rsidP="00D8233A">
            <w:pPr>
              <w:rPr>
                <w:rFonts w:eastAsiaTheme="minorEastAsia"/>
                <w:color w:val="2E74B5" w:themeColor="accent1" w:themeShade="BF"/>
                <w:sz w:val="21"/>
              </w:rPr>
            </w:pPr>
          </w:p>
          <w:p w14:paraId="78E7C481" w14:textId="77777777" w:rsidR="00D8233A" w:rsidRDefault="00D8233A" w:rsidP="00D8233A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4.5 examples</w:t>
            </w:r>
          </w:p>
          <w:p w14:paraId="6E6A7D13" w14:textId="68084940" w:rsidR="00D8233A" w:rsidRDefault="00D8233A" w:rsidP="00D8233A">
            <w:pPr>
              <w:rPr>
                <w:color w:val="2E74B5" w:themeColor="accent1" w:themeShade="BF"/>
                <w:sz w:val="21"/>
              </w:rPr>
            </w:pPr>
            <w:r w:rsidRPr="00E92EA0">
              <w:rPr>
                <w:rFonts w:eastAsiaTheme="minorEastAsia"/>
                <w:color w:val="2E74B5" w:themeColor="accent1" w:themeShade="BF"/>
                <w:sz w:val="21"/>
                <w:highlight w:val="yellow"/>
              </w:rPr>
              <w:t>4F 4, 9, 14, 16</w:t>
            </w:r>
          </w:p>
          <w:p w14:paraId="3C0E8513" w14:textId="3AC4CAB6" w:rsidR="00274803" w:rsidRPr="00522658" w:rsidRDefault="00274803" w:rsidP="00274803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608B9C66" w14:textId="77777777" w:rsidR="00274803" w:rsidRDefault="00DC4A86" w:rsidP="0027480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lastRenderedPageBreak/>
              <w:t>QA</w:t>
            </w:r>
          </w:p>
          <w:p w14:paraId="65DB11C0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</w:rPr>
            </w:pPr>
          </w:p>
          <w:p w14:paraId="2044CFAA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</w:rPr>
            </w:pPr>
          </w:p>
          <w:p w14:paraId="0ADF693B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</w:rPr>
            </w:pPr>
          </w:p>
          <w:p w14:paraId="37D49FF3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</w:rPr>
            </w:pPr>
          </w:p>
          <w:p w14:paraId="3CF2951B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</w:rPr>
            </w:pPr>
          </w:p>
          <w:p w14:paraId="414EF7F6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</w:rPr>
            </w:pPr>
          </w:p>
          <w:p w14:paraId="0D8B7954" w14:textId="77777777" w:rsidR="00DC4A86" w:rsidRDefault="00DC4A86" w:rsidP="0027480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164EA51A" w:rsidR="00DC4A86" w:rsidRPr="00213BC9" w:rsidRDefault="00DC4A86" w:rsidP="00274803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</w:tc>
        <w:tc>
          <w:tcPr>
            <w:tcW w:w="1795" w:type="dxa"/>
            <w:gridSpan w:val="3"/>
          </w:tcPr>
          <w:p w14:paraId="5B768902" w14:textId="2C2120F8" w:rsidR="00274803" w:rsidRPr="00E4361B" w:rsidRDefault="00F865EA" w:rsidP="0027480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Textbook</w:t>
            </w:r>
          </w:p>
        </w:tc>
      </w:tr>
      <w:tr w:rsidR="00274803" w14:paraId="71816EC0" w14:textId="77777777" w:rsidTr="00D514A9">
        <w:tc>
          <w:tcPr>
            <w:tcW w:w="14390" w:type="dxa"/>
            <w:gridSpan w:val="10"/>
          </w:tcPr>
          <w:p w14:paraId="31C07641" w14:textId="3ABA40A4" w:rsidR="00274803" w:rsidRPr="007A2EE3" w:rsidRDefault="00274803" w:rsidP="00274803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7ECF4B1C" w14:textId="77777777" w:rsidR="00274803" w:rsidRPr="007A2EE3" w:rsidRDefault="00274803" w:rsidP="00274803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MVariable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MBinar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FD0"/>
    <w:multiLevelType w:val="hybridMultilevel"/>
    <w:tmpl w:val="7494B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3DD"/>
    <w:rsid w:val="00043ED7"/>
    <w:rsid w:val="000460EB"/>
    <w:rsid w:val="0005031C"/>
    <w:rsid w:val="00050743"/>
    <w:rsid w:val="00050FA6"/>
    <w:rsid w:val="0005647C"/>
    <w:rsid w:val="0008142A"/>
    <w:rsid w:val="000841FA"/>
    <w:rsid w:val="000A3929"/>
    <w:rsid w:val="000A477F"/>
    <w:rsid w:val="000B483D"/>
    <w:rsid w:val="000B4D13"/>
    <w:rsid w:val="000B7956"/>
    <w:rsid w:val="00103676"/>
    <w:rsid w:val="001063A5"/>
    <w:rsid w:val="0011020A"/>
    <w:rsid w:val="00142284"/>
    <w:rsid w:val="001505DF"/>
    <w:rsid w:val="001732B0"/>
    <w:rsid w:val="0019589A"/>
    <w:rsid w:val="001B7A3A"/>
    <w:rsid w:val="001E1781"/>
    <w:rsid w:val="001F1B37"/>
    <w:rsid w:val="002066A2"/>
    <w:rsid w:val="00213BC9"/>
    <w:rsid w:val="00217CF3"/>
    <w:rsid w:val="00223D9C"/>
    <w:rsid w:val="002421DB"/>
    <w:rsid w:val="00257F2B"/>
    <w:rsid w:val="00274803"/>
    <w:rsid w:val="00275D59"/>
    <w:rsid w:val="002905A8"/>
    <w:rsid w:val="002A523E"/>
    <w:rsid w:val="002A73FF"/>
    <w:rsid w:val="002B18F4"/>
    <w:rsid w:val="002B26ED"/>
    <w:rsid w:val="002E2FF0"/>
    <w:rsid w:val="00301465"/>
    <w:rsid w:val="00320B9A"/>
    <w:rsid w:val="0034644E"/>
    <w:rsid w:val="003608D7"/>
    <w:rsid w:val="00366F69"/>
    <w:rsid w:val="00382BA9"/>
    <w:rsid w:val="00385D42"/>
    <w:rsid w:val="00395C41"/>
    <w:rsid w:val="003B06A1"/>
    <w:rsid w:val="003B6AEB"/>
    <w:rsid w:val="003D3B24"/>
    <w:rsid w:val="003F30CC"/>
    <w:rsid w:val="00405986"/>
    <w:rsid w:val="00471FC1"/>
    <w:rsid w:val="00473172"/>
    <w:rsid w:val="00477C6A"/>
    <w:rsid w:val="00480920"/>
    <w:rsid w:val="00492C23"/>
    <w:rsid w:val="004A1D33"/>
    <w:rsid w:val="004D4062"/>
    <w:rsid w:val="004E0681"/>
    <w:rsid w:val="004E27A0"/>
    <w:rsid w:val="004F08D5"/>
    <w:rsid w:val="00504177"/>
    <w:rsid w:val="00515F65"/>
    <w:rsid w:val="00522658"/>
    <w:rsid w:val="00586F34"/>
    <w:rsid w:val="005973FB"/>
    <w:rsid w:val="005A6CE6"/>
    <w:rsid w:val="005B6E92"/>
    <w:rsid w:val="005D42DD"/>
    <w:rsid w:val="005F38DE"/>
    <w:rsid w:val="005F58E0"/>
    <w:rsid w:val="00671081"/>
    <w:rsid w:val="00685E44"/>
    <w:rsid w:val="006A118C"/>
    <w:rsid w:val="006A2BFE"/>
    <w:rsid w:val="006A3DB3"/>
    <w:rsid w:val="006D5AFB"/>
    <w:rsid w:val="006F66F0"/>
    <w:rsid w:val="00701D5E"/>
    <w:rsid w:val="00723D7E"/>
    <w:rsid w:val="00751A39"/>
    <w:rsid w:val="0075229F"/>
    <w:rsid w:val="00766B9D"/>
    <w:rsid w:val="0079473B"/>
    <w:rsid w:val="00796AC2"/>
    <w:rsid w:val="007A2EE3"/>
    <w:rsid w:val="007C086F"/>
    <w:rsid w:val="007D5F2E"/>
    <w:rsid w:val="007E15E2"/>
    <w:rsid w:val="00804EEA"/>
    <w:rsid w:val="0084468A"/>
    <w:rsid w:val="00851A4C"/>
    <w:rsid w:val="008801CD"/>
    <w:rsid w:val="008901C8"/>
    <w:rsid w:val="008A43CD"/>
    <w:rsid w:val="008D1385"/>
    <w:rsid w:val="008F6398"/>
    <w:rsid w:val="00912C9A"/>
    <w:rsid w:val="00915C62"/>
    <w:rsid w:val="00933173"/>
    <w:rsid w:val="00952049"/>
    <w:rsid w:val="00964AE4"/>
    <w:rsid w:val="009669B6"/>
    <w:rsid w:val="00992511"/>
    <w:rsid w:val="00995FB4"/>
    <w:rsid w:val="009B5B70"/>
    <w:rsid w:val="009C4CEC"/>
    <w:rsid w:val="009D2136"/>
    <w:rsid w:val="009E1775"/>
    <w:rsid w:val="009E6FE2"/>
    <w:rsid w:val="009F12F3"/>
    <w:rsid w:val="009F5FF2"/>
    <w:rsid w:val="009F6EE6"/>
    <w:rsid w:val="00A52F1A"/>
    <w:rsid w:val="00A62797"/>
    <w:rsid w:val="00A6456C"/>
    <w:rsid w:val="00A70013"/>
    <w:rsid w:val="00AE15FA"/>
    <w:rsid w:val="00AF290D"/>
    <w:rsid w:val="00B158DF"/>
    <w:rsid w:val="00B15A35"/>
    <w:rsid w:val="00B268B7"/>
    <w:rsid w:val="00B27E2D"/>
    <w:rsid w:val="00B51D5A"/>
    <w:rsid w:val="00B723B8"/>
    <w:rsid w:val="00B74186"/>
    <w:rsid w:val="00B8503A"/>
    <w:rsid w:val="00B85215"/>
    <w:rsid w:val="00B903F6"/>
    <w:rsid w:val="00BB2153"/>
    <w:rsid w:val="00BC0B83"/>
    <w:rsid w:val="00BD0FA7"/>
    <w:rsid w:val="00BD5807"/>
    <w:rsid w:val="00BF137A"/>
    <w:rsid w:val="00BF54AD"/>
    <w:rsid w:val="00C17FC9"/>
    <w:rsid w:val="00C309C1"/>
    <w:rsid w:val="00C34AD5"/>
    <w:rsid w:val="00C373F8"/>
    <w:rsid w:val="00C806BB"/>
    <w:rsid w:val="00C873FC"/>
    <w:rsid w:val="00CA4D0C"/>
    <w:rsid w:val="00CB0199"/>
    <w:rsid w:val="00CE066A"/>
    <w:rsid w:val="00D33A51"/>
    <w:rsid w:val="00D3685F"/>
    <w:rsid w:val="00D514A9"/>
    <w:rsid w:val="00D544DC"/>
    <w:rsid w:val="00D6482C"/>
    <w:rsid w:val="00D67C16"/>
    <w:rsid w:val="00D8233A"/>
    <w:rsid w:val="00DA459B"/>
    <w:rsid w:val="00DB5BD5"/>
    <w:rsid w:val="00DC4A86"/>
    <w:rsid w:val="00DC5F3E"/>
    <w:rsid w:val="00DD0761"/>
    <w:rsid w:val="00DD5FED"/>
    <w:rsid w:val="00DF0DFF"/>
    <w:rsid w:val="00DF2A0D"/>
    <w:rsid w:val="00E05D51"/>
    <w:rsid w:val="00E13357"/>
    <w:rsid w:val="00E40A47"/>
    <w:rsid w:val="00E4361B"/>
    <w:rsid w:val="00E4684C"/>
    <w:rsid w:val="00E540A3"/>
    <w:rsid w:val="00E80937"/>
    <w:rsid w:val="00E9107E"/>
    <w:rsid w:val="00E91414"/>
    <w:rsid w:val="00E92EA0"/>
    <w:rsid w:val="00E93597"/>
    <w:rsid w:val="00EB00BD"/>
    <w:rsid w:val="00ED38A0"/>
    <w:rsid w:val="00EE1839"/>
    <w:rsid w:val="00EE572D"/>
    <w:rsid w:val="00EF2AC1"/>
    <w:rsid w:val="00F0424D"/>
    <w:rsid w:val="00F0655F"/>
    <w:rsid w:val="00F26BF2"/>
    <w:rsid w:val="00F3424C"/>
    <w:rsid w:val="00F67BE4"/>
    <w:rsid w:val="00F865EA"/>
    <w:rsid w:val="00F872F4"/>
    <w:rsid w:val="00F9515C"/>
    <w:rsid w:val="00FA40D2"/>
    <w:rsid w:val="00FC5520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6CF3-8827-40F5-85BD-4E335F48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7</cp:revision>
  <cp:lastPrinted>2019-07-05T07:41:00Z</cp:lastPrinted>
  <dcterms:created xsi:type="dcterms:W3CDTF">2019-10-08T13:02:00Z</dcterms:created>
  <dcterms:modified xsi:type="dcterms:W3CDTF">2020-10-09T09:09:00Z</dcterms:modified>
</cp:coreProperties>
</file>