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BD" w:rsidRPr="00DD67CF" w:rsidRDefault="00DD67CF" w:rsidP="00C310F8">
      <w:pPr>
        <w:ind w:right="1080"/>
        <w:rPr>
          <w:b/>
          <w:bCs/>
        </w:rPr>
      </w:pPr>
      <w:r w:rsidRPr="00DD67CF">
        <w:rPr>
          <w:b/>
          <w:bCs/>
        </w:rPr>
        <w:t xml:space="preserve">Case Study: </w:t>
      </w:r>
      <w:r w:rsidR="00DF382B">
        <w:rPr>
          <w:b/>
          <w:bCs/>
        </w:rPr>
        <w:t>International Finance in Sudan</w:t>
      </w:r>
    </w:p>
    <w:p w:rsidR="0002333D" w:rsidRDefault="00F1470D" w:rsidP="00C310F8">
      <w:pPr>
        <w:ind w:right="1080"/>
      </w:pPr>
      <w:r>
        <w:t xml:space="preserve">Wafaa, a graduate of the MSc Accounting and Finance program at Sudan International University, </w:t>
      </w:r>
      <w:r w:rsidR="00DF382B">
        <w:t xml:space="preserve">is Manager, International Finance at Elbarbary Group, a conglomerate in Khartoum, Sudan.  Because of the US sanctions against Sudan, the company is limited in the countries with which it can do business.  Currently, the company’s main supplier for the medical supplies division is a Chinese manufacturer based in Shenzhen.  The company regularly enters into hedging transactions to manage foreign exchange rate risk.  Currently, </w:t>
      </w:r>
      <w:r>
        <w:t>the exchange rates between the Sudanese pound and the Chinese renminbi are as follows:</w:t>
      </w:r>
    </w:p>
    <w:p w:rsidR="00F1470D" w:rsidRPr="00DF382B" w:rsidRDefault="00F1470D" w:rsidP="00C310F8">
      <w:pPr>
        <w:ind w:right="1080"/>
      </w:pPr>
      <w:r>
        <w:tab/>
      </w:r>
      <w:r w:rsidR="00FE708E" w:rsidRPr="00FE708E">
        <w:rPr>
          <w:noProof/>
        </w:rPr>
        <w:drawing>
          <wp:inline distT="0" distB="0" distL="0" distR="0">
            <wp:extent cx="2314575" cy="5810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8534D2" w:rsidRDefault="00F1470D" w:rsidP="00C310F8">
      <w:pPr>
        <w:ind w:right="1080"/>
      </w:pPr>
      <w:r>
        <w:t xml:space="preserve">The SDG has experienced major devaluation since the separation of South Sudan in 2011; 75% of the country’s oil is in South Sudan and the loss of this revenue stream has significantly affected Sudan’s economy.  Additionally, the US economic sanctions against Sudan continue to weaken the Sudanese economy.  Since 2011, the SDG has declined in value approximately 140% relative to the CNY, and it is expected that during 2017, the SDG will experience an additional 30% depreciation against the CNY, as reflected in the following </w:t>
      </w:r>
      <w:r w:rsidR="00A36347">
        <w:t xml:space="preserve">60 day </w:t>
      </w:r>
      <w:r>
        <w:t>forward exchange rates:</w:t>
      </w:r>
    </w:p>
    <w:p w:rsidR="00F1470D" w:rsidRDefault="00F1470D" w:rsidP="00C310F8">
      <w:pPr>
        <w:ind w:right="1080"/>
      </w:pPr>
      <w:r>
        <w:tab/>
      </w:r>
      <w:r w:rsidR="00FE708E" w:rsidRPr="00FE708E">
        <w:rPr>
          <w:noProof/>
        </w:rPr>
        <w:drawing>
          <wp:inline distT="0" distB="0" distL="0" distR="0">
            <wp:extent cx="2314575" cy="5810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8C72E4" w:rsidRDefault="00F1470D" w:rsidP="00C310F8">
      <w:pPr>
        <w:ind w:right="1080"/>
      </w:pPr>
      <w:r>
        <w:t xml:space="preserve">Wafaa is evaluating options </w:t>
      </w:r>
      <w:r w:rsidR="008C72E4">
        <w:t>to hedge</w:t>
      </w:r>
      <w:r>
        <w:t xml:space="preserve"> a </w:t>
      </w:r>
      <w:r w:rsidR="00A36347">
        <w:t>CNY 8</w:t>
      </w:r>
      <w:r>
        <w:t>50,000 transaction between Elbarbary Group and one of the suppliers in China</w:t>
      </w:r>
      <w:r w:rsidR="00A36347">
        <w:t>.  Currently the company has the opportunity to purchase a 60 day option to purchase CNY 850,000 at a rate of 2.83 SDG to 1 CNY for a fee of SDG 28,000.  This is a typical hedge transaction for the company.  However, Wafaa has been reading about</w:t>
      </w:r>
      <w:r w:rsidR="002C2C79">
        <w:t xml:space="preserve"> the changing perspective of the United States towards Sudan; while the US continues to condemn the conflict in Darfur, South Kordofan, and Blue Nile State, it has been in closer communication with the government in Khartoum and seems to be softening its stance on the idea that Sudan is a state sponsor of terror.</w:t>
      </w:r>
      <w:r w:rsidR="00BE0CC7">
        <w:t xml:space="preserve">  She knows that if the US reduces or removes the sanctions regime against Sudan that the result will be a significant boost to Sudan’s economic position, including the strength </w:t>
      </w:r>
      <w:r w:rsidR="008C72E4">
        <w:t>of its currency.</w:t>
      </w:r>
    </w:p>
    <w:p w:rsidR="00BE0CC7" w:rsidRDefault="00BE0CC7" w:rsidP="00C310F8">
      <w:pPr>
        <w:ind w:right="1080"/>
      </w:pPr>
      <w:r>
        <w:t xml:space="preserve">As President Obama will be leaving office in 30 days, Wafaa senses that the US government could possibly make a favorable announcement regarding the sanctions against Sudan in the very near future.  She is wondering whether to </w:t>
      </w:r>
      <w:r w:rsidR="00B3550A">
        <w:t xml:space="preserve">hedge the transaction with the option purchase </w:t>
      </w:r>
      <w:r>
        <w:t xml:space="preserve">as normal, or whether to </w:t>
      </w:r>
      <w:r w:rsidR="00826682">
        <w:t>forego the hedge</w:t>
      </w:r>
      <w:bookmarkStart w:id="0" w:name="_GoBack"/>
      <w:bookmarkEnd w:id="0"/>
      <w:r w:rsidR="00B3550A">
        <w:t xml:space="preserve"> in light of t</w:t>
      </w:r>
      <w:r>
        <w:t>he possibility that Sudan’s economic situation will change favorably in the short term.</w:t>
      </w:r>
    </w:p>
    <w:p w:rsidR="00F1470D" w:rsidRDefault="00F1470D" w:rsidP="00C310F8">
      <w:pPr>
        <w:ind w:right="1080"/>
      </w:pPr>
    </w:p>
    <w:p w:rsidR="008C72E4" w:rsidRDefault="008C72E4" w:rsidP="00C310F8">
      <w:pPr>
        <w:ind w:right="1080"/>
      </w:pPr>
      <w:r>
        <w:br w:type="page"/>
      </w:r>
    </w:p>
    <w:p w:rsidR="008F3625" w:rsidRDefault="008F3625" w:rsidP="00C310F8">
      <w:pPr>
        <w:ind w:right="1080"/>
      </w:pPr>
      <w:r>
        <w:lastRenderedPageBreak/>
        <w:t>REQUIRED:</w:t>
      </w:r>
    </w:p>
    <w:p w:rsidR="008C72E4" w:rsidRDefault="008C72E4" w:rsidP="00C310F8">
      <w:pPr>
        <w:ind w:right="1080"/>
      </w:pPr>
      <w:r>
        <w:t>As Wafaa:</w:t>
      </w:r>
    </w:p>
    <w:p w:rsidR="008C72E4" w:rsidRDefault="008C72E4" w:rsidP="00C310F8">
      <w:pPr>
        <w:pStyle w:val="ListParagraph"/>
        <w:numPr>
          <w:ilvl w:val="0"/>
          <w:numId w:val="8"/>
        </w:numPr>
        <w:ind w:right="1080"/>
      </w:pPr>
      <w:r>
        <w:t xml:space="preserve">Assume the forward rate today is the same as the spot rate at the time the payable is due. </w:t>
      </w:r>
    </w:p>
    <w:p w:rsidR="008C72E4" w:rsidRDefault="008C72E4" w:rsidP="00C310F8">
      <w:pPr>
        <w:pStyle w:val="ListParagraph"/>
        <w:numPr>
          <w:ilvl w:val="1"/>
          <w:numId w:val="8"/>
        </w:numPr>
        <w:ind w:right="1080"/>
      </w:pPr>
      <w:r>
        <w:t xml:space="preserve">Calculate the amount of foreign exchange loss on the transaction if the company does not purchase the option to buy Chinese </w:t>
      </w:r>
      <w:r w:rsidR="002B257D">
        <w:t>r</w:t>
      </w:r>
      <w:r>
        <w:t>enmi</w:t>
      </w:r>
      <w:r w:rsidR="00AF23D0">
        <w:t>n</w:t>
      </w:r>
      <w:r>
        <w:t>bi.</w:t>
      </w:r>
    </w:p>
    <w:p w:rsidR="008C72E4" w:rsidRDefault="008C72E4" w:rsidP="00C310F8">
      <w:pPr>
        <w:pStyle w:val="ListParagraph"/>
        <w:numPr>
          <w:ilvl w:val="1"/>
          <w:numId w:val="8"/>
        </w:numPr>
        <w:ind w:right="1080"/>
      </w:pPr>
      <w:r>
        <w:t xml:space="preserve">Calculate the </w:t>
      </w:r>
      <w:r w:rsidR="00EB273E">
        <w:t xml:space="preserve">effect </w:t>
      </w:r>
      <w:r>
        <w:t>of purchasing the option.</w:t>
      </w:r>
    </w:p>
    <w:p w:rsidR="008C72E4" w:rsidRDefault="008C72E4" w:rsidP="00C310F8">
      <w:pPr>
        <w:pStyle w:val="ListParagraph"/>
        <w:ind w:left="1440" w:right="1080"/>
      </w:pPr>
    </w:p>
    <w:p w:rsidR="008C72E4" w:rsidRDefault="008C72E4" w:rsidP="00C310F8">
      <w:pPr>
        <w:pStyle w:val="ListParagraph"/>
        <w:numPr>
          <w:ilvl w:val="0"/>
          <w:numId w:val="8"/>
        </w:numPr>
        <w:ind w:right="1080"/>
      </w:pPr>
      <w:r>
        <w:t>Assume that the US government eases the sanctions against Sudan during the next 30 days, resulting in a significant appreciation of the SDG, with a spot rate at the time the payable is due as follows:</w:t>
      </w:r>
    </w:p>
    <w:p w:rsidR="00EB273E" w:rsidRDefault="00EB273E" w:rsidP="00C310F8">
      <w:pPr>
        <w:pStyle w:val="ListParagraph"/>
        <w:ind w:right="1080"/>
      </w:pPr>
    </w:p>
    <w:p w:rsidR="008C72E4" w:rsidRDefault="00D86DBA" w:rsidP="00C310F8">
      <w:pPr>
        <w:pStyle w:val="ListParagraph"/>
        <w:ind w:right="1080" w:firstLine="360"/>
      </w:pPr>
      <w:r w:rsidRPr="00D86DBA">
        <w:rPr>
          <w:noProof/>
        </w:rPr>
        <w:drawing>
          <wp:inline distT="0" distB="0" distL="0" distR="0">
            <wp:extent cx="2314575" cy="5810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EB273E" w:rsidRDefault="00EB273E" w:rsidP="00C310F8">
      <w:pPr>
        <w:pStyle w:val="ListParagraph"/>
        <w:ind w:right="1080"/>
      </w:pPr>
    </w:p>
    <w:p w:rsidR="00EB273E" w:rsidRDefault="00EB273E" w:rsidP="00C310F8">
      <w:pPr>
        <w:pStyle w:val="ListParagraph"/>
        <w:numPr>
          <w:ilvl w:val="1"/>
          <w:numId w:val="8"/>
        </w:numPr>
        <w:ind w:right="1080"/>
      </w:pPr>
      <w:r>
        <w:t>Calculate the foreign exchange effect on the transaction if the company does not purchase the option to buy Chinese renminbi.</w:t>
      </w:r>
    </w:p>
    <w:p w:rsidR="00EB273E" w:rsidRDefault="00EB273E" w:rsidP="00C310F8">
      <w:pPr>
        <w:pStyle w:val="ListParagraph"/>
        <w:numPr>
          <w:ilvl w:val="1"/>
          <w:numId w:val="8"/>
        </w:numPr>
        <w:ind w:right="1080"/>
      </w:pPr>
      <w:r>
        <w:t>Calculate the effect of purchasing the option.</w:t>
      </w:r>
    </w:p>
    <w:p w:rsidR="00EB273E" w:rsidRDefault="00EB273E" w:rsidP="00C310F8">
      <w:pPr>
        <w:pStyle w:val="ListParagraph"/>
        <w:ind w:right="1080"/>
      </w:pPr>
    </w:p>
    <w:p w:rsidR="00EB273E" w:rsidRDefault="00EB273E" w:rsidP="00C310F8">
      <w:pPr>
        <w:ind w:right="1080"/>
      </w:pPr>
    </w:p>
    <w:p w:rsidR="00D63CB2" w:rsidRPr="00E67327" w:rsidRDefault="00D63CB2" w:rsidP="00C310F8">
      <w:pPr>
        <w:ind w:right="1080"/>
      </w:pPr>
    </w:p>
    <w:sectPr w:rsidR="00D63CB2" w:rsidRPr="00E67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12BD"/>
    <w:multiLevelType w:val="hybridMultilevel"/>
    <w:tmpl w:val="CE9CC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14BD5"/>
    <w:multiLevelType w:val="hybridMultilevel"/>
    <w:tmpl w:val="EC76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E5904"/>
    <w:multiLevelType w:val="hybridMultilevel"/>
    <w:tmpl w:val="590C9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54CE7"/>
    <w:multiLevelType w:val="hybridMultilevel"/>
    <w:tmpl w:val="60AABAFA"/>
    <w:lvl w:ilvl="0" w:tplc="AD2A9CB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F7BBB"/>
    <w:multiLevelType w:val="hybridMultilevel"/>
    <w:tmpl w:val="29FE5348"/>
    <w:lvl w:ilvl="0" w:tplc="6EAAFBF6">
      <w:start w:val="1"/>
      <w:numFmt w:val="bullet"/>
      <w:lvlText w:val=""/>
      <w:lvlJc w:val="left"/>
      <w:pPr>
        <w:tabs>
          <w:tab w:val="num" w:pos="720"/>
        </w:tabs>
        <w:ind w:left="720" w:hanging="360"/>
      </w:pPr>
      <w:rPr>
        <w:rFonts w:ascii="Wingdings" w:hAnsi="Wingdings" w:hint="default"/>
      </w:rPr>
    </w:lvl>
    <w:lvl w:ilvl="1" w:tplc="9ECEF502" w:tentative="1">
      <w:start w:val="1"/>
      <w:numFmt w:val="bullet"/>
      <w:lvlText w:val=""/>
      <w:lvlJc w:val="left"/>
      <w:pPr>
        <w:tabs>
          <w:tab w:val="num" w:pos="1440"/>
        </w:tabs>
        <w:ind w:left="1440" w:hanging="360"/>
      </w:pPr>
      <w:rPr>
        <w:rFonts w:ascii="Wingdings" w:hAnsi="Wingdings" w:hint="default"/>
      </w:rPr>
    </w:lvl>
    <w:lvl w:ilvl="2" w:tplc="E01EA3AE" w:tentative="1">
      <w:start w:val="1"/>
      <w:numFmt w:val="bullet"/>
      <w:lvlText w:val=""/>
      <w:lvlJc w:val="left"/>
      <w:pPr>
        <w:tabs>
          <w:tab w:val="num" w:pos="2160"/>
        </w:tabs>
        <w:ind w:left="2160" w:hanging="360"/>
      </w:pPr>
      <w:rPr>
        <w:rFonts w:ascii="Wingdings" w:hAnsi="Wingdings" w:hint="default"/>
      </w:rPr>
    </w:lvl>
    <w:lvl w:ilvl="3" w:tplc="C138F4DA" w:tentative="1">
      <w:start w:val="1"/>
      <w:numFmt w:val="bullet"/>
      <w:lvlText w:val=""/>
      <w:lvlJc w:val="left"/>
      <w:pPr>
        <w:tabs>
          <w:tab w:val="num" w:pos="2880"/>
        </w:tabs>
        <w:ind w:left="2880" w:hanging="360"/>
      </w:pPr>
      <w:rPr>
        <w:rFonts w:ascii="Wingdings" w:hAnsi="Wingdings" w:hint="default"/>
      </w:rPr>
    </w:lvl>
    <w:lvl w:ilvl="4" w:tplc="04D472A0" w:tentative="1">
      <w:start w:val="1"/>
      <w:numFmt w:val="bullet"/>
      <w:lvlText w:val=""/>
      <w:lvlJc w:val="left"/>
      <w:pPr>
        <w:tabs>
          <w:tab w:val="num" w:pos="3600"/>
        </w:tabs>
        <w:ind w:left="3600" w:hanging="360"/>
      </w:pPr>
      <w:rPr>
        <w:rFonts w:ascii="Wingdings" w:hAnsi="Wingdings" w:hint="default"/>
      </w:rPr>
    </w:lvl>
    <w:lvl w:ilvl="5" w:tplc="F16A39A2" w:tentative="1">
      <w:start w:val="1"/>
      <w:numFmt w:val="bullet"/>
      <w:lvlText w:val=""/>
      <w:lvlJc w:val="left"/>
      <w:pPr>
        <w:tabs>
          <w:tab w:val="num" w:pos="4320"/>
        </w:tabs>
        <w:ind w:left="4320" w:hanging="360"/>
      </w:pPr>
      <w:rPr>
        <w:rFonts w:ascii="Wingdings" w:hAnsi="Wingdings" w:hint="default"/>
      </w:rPr>
    </w:lvl>
    <w:lvl w:ilvl="6" w:tplc="896A1DE0" w:tentative="1">
      <w:start w:val="1"/>
      <w:numFmt w:val="bullet"/>
      <w:lvlText w:val=""/>
      <w:lvlJc w:val="left"/>
      <w:pPr>
        <w:tabs>
          <w:tab w:val="num" w:pos="5040"/>
        </w:tabs>
        <w:ind w:left="5040" w:hanging="360"/>
      </w:pPr>
      <w:rPr>
        <w:rFonts w:ascii="Wingdings" w:hAnsi="Wingdings" w:hint="default"/>
      </w:rPr>
    </w:lvl>
    <w:lvl w:ilvl="7" w:tplc="5BF4F7A8" w:tentative="1">
      <w:start w:val="1"/>
      <w:numFmt w:val="bullet"/>
      <w:lvlText w:val=""/>
      <w:lvlJc w:val="left"/>
      <w:pPr>
        <w:tabs>
          <w:tab w:val="num" w:pos="5760"/>
        </w:tabs>
        <w:ind w:left="5760" w:hanging="360"/>
      </w:pPr>
      <w:rPr>
        <w:rFonts w:ascii="Wingdings" w:hAnsi="Wingdings" w:hint="default"/>
      </w:rPr>
    </w:lvl>
    <w:lvl w:ilvl="8" w:tplc="99DACF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9F4121"/>
    <w:multiLevelType w:val="hybridMultilevel"/>
    <w:tmpl w:val="028613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C068E"/>
    <w:multiLevelType w:val="hybridMultilevel"/>
    <w:tmpl w:val="6C7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8187D"/>
    <w:multiLevelType w:val="hybridMultilevel"/>
    <w:tmpl w:val="7618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7D"/>
    <w:rsid w:val="0002333D"/>
    <w:rsid w:val="000434A7"/>
    <w:rsid w:val="00085008"/>
    <w:rsid w:val="00146D34"/>
    <w:rsid w:val="001726B5"/>
    <w:rsid w:val="00203AC1"/>
    <w:rsid w:val="00206737"/>
    <w:rsid w:val="00266063"/>
    <w:rsid w:val="002B257D"/>
    <w:rsid w:val="002C2C79"/>
    <w:rsid w:val="002D6A42"/>
    <w:rsid w:val="003A1148"/>
    <w:rsid w:val="003F2C54"/>
    <w:rsid w:val="00462342"/>
    <w:rsid w:val="0048379D"/>
    <w:rsid w:val="004A4B0C"/>
    <w:rsid w:val="004B0B6D"/>
    <w:rsid w:val="004C6299"/>
    <w:rsid w:val="004C737D"/>
    <w:rsid w:val="00602268"/>
    <w:rsid w:val="0060599C"/>
    <w:rsid w:val="00613695"/>
    <w:rsid w:val="006478B1"/>
    <w:rsid w:val="006530BD"/>
    <w:rsid w:val="006C79F2"/>
    <w:rsid w:val="00761DAA"/>
    <w:rsid w:val="0077056A"/>
    <w:rsid w:val="007B0332"/>
    <w:rsid w:val="007F04C1"/>
    <w:rsid w:val="00826682"/>
    <w:rsid w:val="00847247"/>
    <w:rsid w:val="008534D2"/>
    <w:rsid w:val="008C72E4"/>
    <w:rsid w:val="008E0844"/>
    <w:rsid w:val="008F3625"/>
    <w:rsid w:val="008F7275"/>
    <w:rsid w:val="00960F0C"/>
    <w:rsid w:val="00997BE4"/>
    <w:rsid w:val="009D5866"/>
    <w:rsid w:val="009E7CF0"/>
    <w:rsid w:val="00A36347"/>
    <w:rsid w:val="00A453C3"/>
    <w:rsid w:val="00A6085C"/>
    <w:rsid w:val="00A66F0C"/>
    <w:rsid w:val="00AC101C"/>
    <w:rsid w:val="00AD3255"/>
    <w:rsid w:val="00AD7251"/>
    <w:rsid w:val="00AF23D0"/>
    <w:rsid w:val="00B03293"/>
    <w:rsid w:val="00B3550A"/>
    <w:rsid w:val="00B638D0"/>
    <w:rsid w:val="00BC3C0D"/>
    <w:rsid w:val="00BE0CC7"/>
    <w:rsid w:val="00C310F8"/>
    <w:rsid w:val="00C554B0"/>
    <w:rsid w:val="00CB3110"/>
    <w:rsid w:val="00CB7AE1"/>
    <w:rsid w:val="00CC0A03"/>
    <w:rsid w:val="00CD520F"/>
    <w:rsid w:val="00D63A62"/>
    <w:rsid w:val="00D63CB2"/>
    <w:rsid w:val="00D86DBA"/>
    <w:rsid w:val="00DD67CF"/>
    <w:rsid w:val="00DF382B"/>
    <w:rsid w:val="00E3712E"/>
    <w:rsid w:val="00E62428"/>
    <w:rsid w:val="00E67327"/>
    <w:rsid w:val="00EB273E"/>
    <w:rsid w:val="00ED5B48"/>
    <w:rsid w:val="00F1470D"/>
    <w:rsid w:val="00F36978"/>
    <w:rsid w:val="00F37C30"/>
    <w:rsid w:val="00FE7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E1A00-8AAE-474C-9C41-36F945F7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23808">
      <w:bodyDiv w:val="1"/>
      <w:marLeft w:val="0"/>
      <w:marRight w:val="0"/>
      <w:marTop w:val="0"/>
      <w:marBottom w:val="0"/>
      <w:divBdr>
        <w:top w:val="none" w:sz="0" w:space="0" w:color="auto"/>
        <w:left w:val="none" w:sz="0" w:space="0" w:color="auto"/>
        <w:bottom w:val="none" w:sz="0" w:space="0" w:color="auto"/>
        <w:right w:val="none" w:sz="0" w:space="0" w:color="auto"/>
      </w:divBdr>
      <w:divsChild>
        <w:div w:id="558055201">
          <w:marLeft w:val="144"/>
          <w:marRight w:val="0"/>
          <w:marTop w:val="240"/>
          <w:marBottom w:val="40"/>
          <w:divBdr>
            <w:top w:val="none" w:sz="0" w:space="0" w:color="auto"/>
            <w:left w:val="none" w:sz="0" w:space="0" w:color="auto"/>
            <w:bottom w:val="none" w:sz="0" w:space="0" w:color="auto"/>
            <w:right w:val="none" w:sz="0" w:space="0" w:color="auto"/>
          </w:divBdr>
        </w:div>
        <w:div w:id="1792701338">
          <w:marLeft w:val="144"/>
          <w:marRight w:val="0"/>
          <w:marTop w:val="240"/>
          <w:marBottom w:val="40"/>
          <w:divBdr>
            <w:top w:val="none" w:sz="0" w:space="0" w:color="auto"/>
            <w:left w:val="none" w:sz="0" w:space="0" w:color="auto"/>
            <w:bottom w:val="none" w:sz="0" w:space="0" w:color="auto"/>
            <w:right w:val="none" w:sz="0" w:space="0" w:color="auto"/>
          </w:divBdr>
        </w:div>
      </w:divsChild>
    </w:div>
    <w:div w:id="670529936">
      <w:bodyDiv w:val="1"/>
      <w:marLeft w:val="0"/>
      <w:marRight w:val="0"/>
      <w:marTop w:val="0"/>
      <w:marBottom w:val="0"/>
      <w:divBdr>
        <w:top w:val="none" w:sz="0" w:space="0" w:color="auto"/>
        <w:left w:val="none" w:sz="0" w:space="0" w:color="auto"/>
        <w:bottom w:val="none" w:sz="0" w:space="0" w:color="auto"/>
        <w:right w:val="none" w:sz="0" w:space="0" w:color="auto"/>
      </w:divBdr>
    </w:div>
    <w:div w:id="16679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13</cp:revision>
  <dcterms:created xsi:type="dcterms:W3CDTF">2016-12-20T12:37:00Z</dcterms:created>
  <dcterms:modified xsi:type="dcterms:W3CDTF">2016-12-28T16:29:00Z</dcterms:modified>
</cp:coreProperties>
</file>